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C8461" w14:textId="77777777" w:rsidR="002E39B5" w:rsidRDefault="002E39B5" w:rsidP="002E39B5">
      <w:pPr>
        <w:pStyle w:val="En-tte"/>
      </w:pPr>
      <w:r>
        <w:rPr>
          <w:rFonts w:cs="Calibri"/>
          <w:noProof/>
          <w:lang w:eastAsia="fr-BE"/>
        </w:rPr>
        <w:drawing>
          <wp:inline distT="0" distB="0" distL="0" distR="0" wp14:anchorId="388F635E" wp14:editId="6FE3D6BA">
            <wp:extent cx="595564" cy="43708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701" cy="437922"/>
                    </a:xfrm>
                    <a:prstGeom prst="rect">
                      <a:avLst/>
                    </a:prstGeom>
                  </pic:spPr>
                </pic:pic>
              </a:graphicData>
            </a:graphic>
          </wp:inline>
        </w:drawing>
      </w:r>
    </w:p>
    <w:p w14:paraId="03BD97E0" w14:textId="77777777" w:rsidR="008400DD" w:rsidRDefault="008400DD"/>
    <w:p w14:paraId="1D06C534" w14:textId="77777777" w:rsidR="002E39B5" w:rsidRPr="00120C4D" w:rsidRDefault="002E39B5" w:rsidP="002E39B5">
      <w:pPr>
        <w:jc w:val="center"/>
        <w:rPr>
          <w:rFonts w:ascii="Arial" w:hAnsi="Arial" w:cs="Arial"/>
          <w:b/>
          <w:sz w:val="28"/>
          <w:szCs w:val="28"/>
          <w:u w:val="single"/>
          <w:lang w:val="fr-FR"/>
        </w:rPr>
      </w:pPr>
      <w:r w:rsidRPr="00120C4D">
        <w:rPr>
          <w:rFonts w:ascii="Arial" w:hAnsi="Arial" w:cs="Arial"/>
          <w:b/>
          <w:sz w:val="28"/>
          <w:szCs w:val="28"/>
          <w:u w:val="single"/>
          <w:lang w:val="fr-FR"/>
        </w:rPr>
        <w:t>Appel à proposition de la Commission européenne</w:t>
      </w:r>
    </w:p>
    <w:p w14:paraId="27C80A59" w14:textId="77777777" w:rsidR="002E39B5" w:rsidRPr="00120C4D" w:rsidRDefault="002E39B5" w:rsidP="002E39B5">
      <w:pPr>
        <w:jc w:val="center"/>
        <w:rPr>
          <w:rFonts w:ascii="Arial" w:hAnsi="Arial" w:cs="Arial"/>
          <w:b/>
          <w:sz w:val="28"/>
          <w:szCs w:val="28"/>
          <w:u w:val="single"/>
          <w:lang w:val="fr-FR"/>
        </w:rPr>
      </w:pPr>
    </w:p>
    <w:tbl>
      <w:tblPr>
        <w:tblStyle w:val="Grilledutableau"/>
        <w:tblW w:w="0" w:type="auto"/>
        <w:tblLook w:val="04A0" w:firstRow="1" w:lastRow="0" w:firstColumn="1" w:lastColumn="0" w:noHBand="0" w:noVBand="1"/>
      </w:tblPr>
      <w:tblGrid>
        <w:gridCol w:w="2486"/>
        <w:gridCol w:w="6576"/>
      </w:tblGrid>
      <w:tr w:rsidR="002E39B5" w:rsidRPr="002E39B5" w14:paraId="193759D5" w14:textId="77777777" w:rsidTr="002E4C43">
        <w:tc>
          <w:tcPr>
            <w:tcW w:w="9212" w:type="dxa"/>
            <w:gridSpan w:val="2"/>
          </w:tcPr>
          <w:p w14:paraId="01FA8FB0" w14:textId="77777777" w:rsidR="002E39B5" w:rsidRPr="002E39B5" w:rsidRDefault="002E39B5" w:rsidP="002E39B5">
            <w:pPr>
              <w:rPr>
                <w:rFonts w:ascii="Arial" w:hAnsi="Arial" w:cs="Arial"/>
                <w:b/>
                <w:bCs/>
                <w:sz w:val="20"/>
                <w:szCs w:val="20"/>
              </w:rPr>
            </w:pPr>
            <w:r w:rsidRPr="002E39B5">
              <w:rPr>
                <w:rFonts w:ascii="Arial" w:hAnsi="Arial" w:cs="Arial"/>
                <w:b/>
                <w:bCs/>
                <w:sz w:val="20"/>
                <w:szCs w:val="20"/>
              </w:rPr>
              <w:t>Appel à projets de développement des compétences et des talents en matière de créativité s’appuyant sur le digital</w:t>
            </w:r>
          </w:p>
          <w:p w14:paraId="7D151D35" w14:textId="77777777" w:rsidR="002E39B5" w:rsidRPr="002E39B5" w:rsidRDefault="002E39B5" w:rsidP="002E39B5">
            <w:pPr>
              <w:rPr>
                <w:rFonts w:ascii="Arial" w:hAnsi="Arial" w:cs="Arial"/>
                <w:b/>
                <w:bCs/>
                <w:sz w:val="20"/>
                <w:szCs w:val="20"/>
              </w:rPr>
            </w:pPr>
          </w:p>
          <w:p w14:paraId="1ADC35E9" w14:textId="77777777" w:rsidR="002E39B5" w:rsidRPr="002E39B5" w:rsidRDefault="002E39B5" w:rsidP="002E39B5">
            <w:pPr>
              <w:rPr>
                <w:rFonts w:ascii="Arial" w:hAnsi="Arial" w:cs="Arial"/>
                <w:b/>
                <w:bCs/>
                <w:sz w:val="20"/>
                <w:szCs w:val="20"/>
              </w:rPr>
            </w:pPr>
            <w:r w:rsidRPr="002E39B5">
              <w:rPr>
                <w:rFonts w:ascii="Arial" w:hAnsi="Arial" w:cs="Arial"/>
                <w:b/>
                <w:bCs/>
                <w:sz w:val="20"/>
                <w:szCs w:val="20"/>
              </w:rPr>
              <w:t>Références légales : Règlement financier 2018/1046 et règlement de base de Creative Europe 2021/818</w:t>
            </w:r>
          </w:p>
          <w:p w14:paraId="446ABC51" w14:textId="77777777" w:rsidR="002E39B5" w:rsidRPr="002E39B5" w:rsidRDefault="002E39B5" w:rsidP="002E39B5">
            <w:pPr>
              <w:rPr>
                <w:rFonts w:ascii="Arial" w:hAnsi="Arial" w:cs="Arial"/>
                <w:b/>
                <w:bCs/>
                <w:sz w:val="20"/>
                <w:szCs w:val="20"/>
              </w:rPr>
            </w:pPr>
          </w:p>
          <w:p w14:paraId="42830222" w14:textId="77777777" w:rsidR="002E39B5" w:rsidRPr="002E39B5" w:rsidRDefault="002E39B5" w:rsidP="002E39B5">
            <w:pPr>
              <w:rPr>
                <w:rFonts w:ascii="Arial" w:hAnsi="Arial" w:cs="Arial"/>
                <w:b/>
                <w:bCs/>
                <w:color w:val="00B0F0"/>
                <w:sz w:val="20"/>
                <w:szCs w:val="20"/>
              </w:rPr>
            </w:pPr>
            <w:r w:rsidRPr="002E39B5">
              <w:rPr>
                <w:rFonts w:ascii="Arial" w:hAnsi="Arial" w:cs="Arial"/>
                <w:b/>
                <w:bCs/>
                <w:color w:val="00B0F0"/>
                <w:sz w:val="20"/>
                <w:szCs w:val="20"/>
              </w:rPr>
              <w:t xml:space="preserve">Mots-clés : créativité – digital – médias – gaming </w:t>
            </w:r>
          </w:p>
          <w:p w14:paraId="71FD306A" w14:textId="53332C85" w:rsidR="002E39B5" w:rsidRPr="002E39B5" w:rsidRDefault="002E39B5" w:rsidP="002E39B5">
            <w:pPr>
              <w:rPr>
                <w:rFonts w:ascii="Arial" w:hAnsi="Arial" w:cs="Arial"/>
                <w:b/>
                <w:bCs/>
                <w:sz w:val="20"/>
                <w:szCs w:val="20"/>
              </w:rPr>
            </w:pPr>
          </w:p>
        </w:tc>
      </w:tr>
      <w:tr w:rsidR="002E39B5" w:rsidRPr="00120C4D" w14:paraId="56C0A059" w14:textId="77777777" w:rsidTr="002E4C43">
        <w:tc>
          <w:tcPr>
            <w:tcW w:w="2518" w:type="dxa"/>
          </w:tcPr>
          <w:p w14:paraId="7B7DF5A6" w14:textId="77777777" w:rsidR="002E39B5" w:rsidRPr="00120C4D" w:rsidRDefault="002E39B5" w:rsidP="002E4C43">
            <w:pPr>
              <w:jc w:val="both"/>
              <w:rPr>
                <w:rFonts w:ascii="Arial" w:hAnsi="Arial" w:cs="Arial"/>
              </w:rPr>
            </w:pPr>
            <w:r w:rsidRPr="00120C4D">
              <w:rPr>
                <w:rFonts w:ascii="Arial" w:hAnsi="Arial" w:cs="Arial"/>
              </w:rPr>
              <w:t>Titre</w:t>
            </w:r>
          </w:p>
        </w:tc>
        <w:tc>
          <w:tcPr>
            <w:tcW w:w="6694" w:type="dxa"/>
          </w:tcPr>
          <w:p w14:paraId="2A45E721" w14:textId="2D92420F" w:rsidR="002E39B5" w:rsidRPr="00120C4D" w:rsidRDefault="002E39B5" w:rsidP="002E4C43">
            <w:pPr>
              <w:jc w:val="both"/>
              <w:rPr>
                <w:rFonts w:ascii="Arial" w:hAnsi="Arial" w:cs="Arial"/>
                <w:sz w:val="20"/>
                <w:szCs w:val="20"/>
              </w:rPr>
            </w:pPr>
            <w:r>
              <w:rPr>
                <w:rFonts w:ascii="Arial" w:hAnsi="Arial" w:cs="Arial"/>
                <w:sz w:val="20"/>
                <w:szCs w:val="20"/>
              </w:rPr>
              <w:t>Développement des compétences et des talents</w:t>
            </w:r>
          </w:p>
        </w:tc>
      </w:tr>
      <w:tr w:rsidR="002E39B5" w:rsidRPr="00120C4D" w14:paraId="0D944576" w14:textId="77777777" w:rsidTr="002E4C43">
        <w:tc>
          <w:tcPr>
            <w:tcW w:w="2518" w:type="dxa"/>
          </w:tcPr>
          <w:p w14:paraId="36D45B7C" w14:textId="77777777" w:rsidR="002E39B5" w:rsidRPr="00120C4D" w:rsidRDefault="002E39B5" w:rsidP="002E4C43">
            <w:pPr>
              <w:jc w:val="both"/>
              <w:rPr>
                <w:rFonts w:ascii="Arial" w:hAnsi="Arial" w:cs="Arial"/>
              </w:rPr>
            </w:pPr>
            <w:r w:rsidRPr="00120C4D">
              <w:rPr>
                <w:rFonts w:ascii="Arial" w:hAnsi="Arial" w:cs="Arial"/>
              </w:rPr>
              <w:t>Objet</w:t>
            </w:r>
          </w:p>
        </w:tc>
        <w:tc>
          <w:tcPr>
            <w:tcW w:w="6694" w:type="dxa"/>
          </w:tcPr>
          <w:p w14:paraId="0BC68622" w14:textId="18650B96" w:rsidR="002E39B5" w:rsidRDefault="002E39B5" w:rsidP="002E39B5">
            <w:pPr>
              <w:jc w:val="both"/>
              <w:rPr>
                <w:rFonts w:ascii="Arial" w:hAnsi="Arial" w:cs="Arial"/>
                <w:sz w:val="20"/>
                <w:szCs w:val="20"/>
              </w:rPr>
            </w:pPr>
            <w:r>
              <w:rPr>
                <w:rFonts w:ascii="Arial" w:hAnsi="Arial" w:cs="Arial"/>
                <w:sz w:val="20"/>
                <w:szCs w:val="20"/>
              </w:rPr>
              <w:t xml:space="preserve">L’appel, porté </w:t>
            </w:r>
            <w:r>
              <w:rPr>
                <w:rFonts w:ascii="Arial" w:hAnsi="Arial" w:cs="Arial"/>
                <w:sz w:val="20"/>
                <w:szCs w:val="20"/>
              </w:rPr>
              <w:t>par l’agence EACEA, vise à améliorer les capacités des professionnels de l’audiovisuel et du gaming à s’adapter aux nouveaux processus créatifs, aux développements commerciaux des secteurs concernés ainsi qu’aux technologies numériques qui peuvent impacter la chaîne de valeurs.</w:t>
            </w:r>
          </w:p>
          <w:p w14:paraId="106F917C" w14:textId="77777777" w:rsidR="00517D5D" w:rsidRDefault="00517D5D" w:rsidP="002E39B5">
            <w:pPr>
              <w:jc w:val="both"/>
              <w:rPr>
                <w:rFonts w:ascii="Arial" w:hAnsi="Arial" w:cs="Arial"/>
                <w:sz w:val="20"/>
                <w:szCs w:val="20"/>
              </w:rPr>
            </w:pPr>
          </w:p>
          <w:p w14:paraId="49E44A6D" w14:textId="77777777" w:rsidR="00517D5D" w:rsidRDefault="00517D5D" w:rsidP="002E39B5">
            <w:pPr>
              <w:jc w:val="both"/>
              <w:rPr>
                <w:rFonts w:ascii="Arial" w:hAnsi="Arial" w:cs="Arial"/>
                <w:sz w:val="20"/>
                <w:szCs w:val="20"/>
              </w:rPr>
            </w:pPr>
            <w:r>
              <w:rPr>
                <w:rFonts w:ascii="Arial" w:hAnsi="Arial" w:cs="Arial"/>
                <w:sz w:val="20"/>
                <w:szCs w:val="20"/>
              </w:rPr>
              <w:t xml:space="preserve">Il s’agit plus spécifiquement : </w:t>
            </w:r>
          </w:p>
          <w:p w14:paraId="11BC62E5" w14:textId="77777777" w:rsidR="00517D5D" w:rsidRDefault="00517D5D" w:rsidP="002E39B5">
            <w:pPr>
              <w:jc w:val="both"/>
              <w:rPr>
                <w:rFonts w:ascii="Arial" w:hAnsi="Arial" w:cs="Arial"/>
                <w:sz w:val="20"/>
                <w:szCs w:val="20"/>
              </w:rPr>
            </w:pPr>
          </w:p>
          <w:p w14:paraId="10E1EFB0" w14:textId="21617BC0" w:rsidR="00517D5D" w:rsidRDefault="00517D5D" w:rsidP="00517D5D">
            <w:pPr>
              <w:pStyle w:val="Paragraphedeliste"/>
              <w:numPr>
                <w:ilvl w:val="0"/>
                <w:numId w:val="3"/>
              </w:numPr>
              <w:jc w:val="both"/>
              <w:rPr>
                <w:rFonts w:ascii="Arial" w:hAnsi="Arial" w:cs="Arial"/>
                <w:sz w:val="20"/>
                <w:szCs w:val="20"/>
              </w:rPr>
            </w:pPr>
            <w:r w:rsidRPr="00517D5D">
              <w:rPr>
                <w:rFonts w:ascii="Arial" w:hAnsi="Arial" w:cs="Arial"/>
                <w:sz w:val="20"/>
                <w:szCs w:val="20"/>
              </w:rPr>
              <w:t>De soutenir l’adaptation à de nouveaux processus créatifs comme les collaborations créatives, l’interdisciplinarité ou la narration mêlant compétences digitales et créatives</w:t>
            </w:r>
            <w:r>
              <w:rPr>
                <w:rFonts w:ascii="Arial" w:hAnsi="Arial" w:cs="Arial"/>
                <w:sz w:val="20"/>
                <w:szCs w:val="20"/>
              </w:rPr>
              <w:t> ;</w:t>
            </w:r>
          </w:p>
          <w:p w14:paraId="41C4F95F" w14:textId="73BEC7B6" w:rsidR="00517D5D" w:rsidRDefault="00517D5D" w:rsidP="00517D5D">
            <w:pPr>
              <w:pStyle w:val="Paragraphedeliste"/>
              <w:numPr>
                <w:ilvl w:val="0"/>
                <w:numId w:val="3"/>
              </w:numPr>
              <w:jc w:val="both"/>
              <w:rPr>
                <w:rFonts w:ascii="Arial" w:hAnsi="Arial" w:cs="Arial"/>
                <w:sz w:val="20"/>
                <w:szCs w:val="20"/>
              </w:rPr>
            </w:pPr>
            <w:r>
              <w:rPr>
                <w:rFonts w:ascii="Arial" w:hAnsi="Arial" w:cs="Arial"/>
                <w:sz w:val="20"/>
                <w:szCs w:val="20"/>
              </w:rPr>
              <w:t>D’exploiter l’innovation digitale dans la production audiovisuelle ;</w:t>
            </w:r>
          </w:p>
          <w:p w14:paraId="71145E8A" w14:textId="77777777" w:rsidR="00517D5D" w:rsidRDefault="00517D5D" w:rsidP="00517D5D">
            <w:pPr>
              <w:pStyle w:val="Paragraphedeliste"/>
              <w:numPr>
                <w:ilvl w:val="0"/>
                <w:numId w:val="3"/>
              </w:numPr>
              <w:jc w:val="both"/>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soutenir l’adoption des outils digitaux pour la production des jeux vidéo.</w:t>
            </w:r>
          </w:p>
          <w:p w14:paraId="1735B160" w14:textId="77777777" w:rsidR="00517D5D" w:rsidRDefault="00517D5D" w:rsidP="00517D5D">
            <w:pPr>
              <w:jc w:val="both"/>
              <w:rPr>
                <w:rFonts w:ascii="Arial" w:hAnsi="Arial" w:cs="Arial"/>
                <w:sz w:val="20"/>
                <w:szCs w:val="20"/>
              </w:rPr>
            </w:pPr>
          </w:p>
          <w:p w14:paraId="4A631526" w14:textId="7AFE5679" w:rsidR="00517D5D" w:rsidRPr="00517D5D" w:rsidRDefault="00517D5D" w:rsidP="00517D5D">
            <w:pPr>
              <w:jc w:val="both"/>
              <w:rPr>
                <w:rFonts w:ascii="Arial" w:hAnsi="Arial" w:cs="Arial"/>
                <w:sz w:val="20"/>
                <w:szCs w:val="20"/>
              </w:rPr>
            </w:pPr>
            <w:r>
              <w:rPr>
                <w:rFonts w:ascii="Arial" w:hAnsi="Arial" w:cs="Arial"/>
                <w:sz w:val="20"/>
                <w:szCs w:val="20"/>
              </w:rPr>
              <w:t>Le point de contact en Wallonie et Fédération Wallonie-Bruxelles est le Desk Creative Europe.</w:t>
            </w:r>
            <w:r w:rsidRPr="00517D5D">
              <w:rPr>
                <w:rFonts w:ascii="Arial" w:hAnsi="Arial" w:cs="Arial"/>
                <w:sz w:val="20"/>
                <w:szCs w:val="20"/>
              </w:rPr>
              <w:t xml:space="preserve"> </w:t>
            </w:r>
          </w:p>
          <w:p w14:paraId="465A3446" w14:textId="4C31041D" w:rsidR="002E39B5" w:rsidRPr="00120C4D" w:rsidRDefault="002E39B5" w:rsidP="002E4C43">
            <w:pPr>
              <w:jc w:val="both"/>
              <w:rPr>
                <w:rFonts w:ascii="Arial" w:hAnsi="Arial" w:cs="Arial"/>
                <w:sz w:val="20"/>
                <w:szCs w:val="20"/>
              </w:rPr>
            </w:pPr>
          </w:p>
        </w:tc>
      </w:tr>
      <w:tr w:rsidR="002E39B5" w:rsidRPr="00120C4D" w14:paraId="3EC9E786" w14:textId="77777777" w:rsidTr="002E4C43">
        <w:tc>
          <w:tcPr>
            <w:tcW w:w="2518" w:type="dxa"/>
          </w:tcPr>
          <w:p w14:paraId="0C398627" w14:textId="77777777" w:rsidR="002E39B5" w:rsidRPr="00120C4D" w:rsidRDefault="002E39B5" w:rsidP="002E4C43">
            <w:pPr>
              <w:jc w:val="both"/>
              <w:rPr>
                <w:rFonts w:ascii="Arial" w:hAnsi="Arial" w:cs="Arial"/>
              </w:rPr>
            </w:pPr>
            <w:r w:rsidRPr="00120C4D">
              <w:rPr>
                <w:rFonts w:ascii="Arial" w:hAnsi="Arial" w:cs="Arial"/>
              </w:rPr>
              <w:t>Publics cibles</w:t>
            </w:r>
          </w:p>
        </w:tc>
        <w:tc>
          <w:tcPr>
            <w:tcW w:w="6694" w:type="dxa"/>
          </w:tcPr>
          <w:p w14:paraId="15DC482F" w14:textId="7DF817DE" w:rsidR="002E39B5" w:rsidRPr="00AE3DC0" w:rsidRDefault="002E39B5" w:rsidP="002E4C43">
            <w:pPr>
              <w:jc w:val="both"/>
              <w:rPr>
                <w:rFonts w:ascii="Arial" w:hAnsi="Arial" w:cs="Arial"/>
                <w:sz w:val="20"/>
                <w:szCs w:val="20"/>
              </w:rPr>
            </w:pPr>
            <w:r>
              <w:rPr>
                <w:rFonts w:ascii="Arial" w:hAnsi="Arial" w:cs="Arial"/>
                <w:sz w:val="20"/>
                <w:szCs w:val="20"/>
              </w:rPr>
              <w:t xml:space="preserve">Entreprises </w:t>
            </w:r>
            <w:r w:rsidR="00517D5D">
              <w:rPr>
                <w:rFonts w:ascii="Arial" w:hAnsi="Arial" w:cs="Arial"/>
                <w:sz w:val="20"/>
                <w:szCs w:val="20"/>
              </w:rPr>
              <w:t>de l’audiovisuel et du gaming</w:t>
            </w:r>
          </w:p>
        </w:tc>
      </w:tr>
      <w:tr w:rsidR="002E39B5" w:rsidRPr="00120C4D" w14:paraId="4537329C" w14:textId="77777777" w:rsidTr="002E4C43">
        <w:tc>
          <w:tcPr>
            <w:tcW w:w="2518" w:type="dxa"/>
          </w:tcPr>
          <w:p w14:paraId="62C3DF36" w14:textId="77777777" w:rsidR="002E39B5" w:rsidRPr="00120C4D" w:rsidRDefault="002E39B5" w:rsidP="002E4C43">
            <w:pPr>
              <w:jc w:val="both"/>
              <w:rPr>
                <w:rFonts w:ascii="Arial" w:hAnsi="Arial" w:cs="Arial"/>
              </w:rPr>
            </w:pPr>
            <w:r w:rsidRPr="00120C4D">
              <w:rPr>
                <w:rFonts w:ascii="Arial" w:hAnsi="Arial" w:cs="Arial"/>
              </w:rPr>
              <w:t xml:space="preserve">Ouverture </w:t>
            </w:r>
          </w:p>
        </w:tc>
        <w:tc>
          <w:tcPr>
            <w:tcW w:w="6694" w:type="dxa"/>
          </w:tcPr>
          <w:p w14:paraId="0F570B2A" w14:textId="6E8E668C" w:rsidR="002E39B5" w:rsidRDefault="00517D5D" w:rsidP="002E4C43">
            <w:pPr>
              <w:jc w:val="both"/>
              <w:rPr>
                <w:rFonts w:ascii="Arial" w:hAnsi="Arial" w:cs="Arial"/>
                <w:sz w:val="20"/>
                <w:szCs w:val="20"/>
              </w:rPr>
            </w:pPr>
            <w:r>
              <w:rPr>
                <w:rFonts w:ascii="Arial" w:hAnsi="Arial" w:cs="Arial"/>
                <w:sz w:val="20"/>
                <w:szCs w:val="20"/>
              </w:rPr>
              <w:t>1</w:t>
            </w:r>
            <w:r w:rsidRPr="00517D5D">
              <w:rPr>
                <w:rFonts w:ascii="Arial" w:hAnsi="Arial" w:cs="Arial"/>
                <w:sz w:val="20"/>
                <w:szCs w:val="20"/>
                <w:vertAlign w:val="superscript"/>
              </w:rPr>
              <w:t>er</w:t>
            </w:r>
            <w:r>
              <w:rPr>
                <w:rFonts w:ascii="Arial" w:hAnsi="Arial" w:cs="Arial"/>
                <w:sz w:val="20"/>
                <w:szCs w:val="20"/>
              </w:rPr>
              <w:t xml:space="preserve"> octobre 2024</w:t>
            </w:r>
          </w:p>
          <w:p w14:paraId="1953F6FE" w14:textId="77777777" w:rsidR="002E39B5" w:rsidRPr="00120C4D" w:rsidRDefault="002E39B5" w:rsidP="002E4C43">
            <w:pPr>
              <w:jc w:val="both"/>
              <w:rPr>
                <w:rFonts w:ascii="Arial" w:hAnsi="Arial" w:cs="Arial"/>
                <w:sz w:val="20"/>
                <w:szCs w:val="20"/>
              </w:rPr>
            </w:pPr>
          </w:p>
        </w:tc>
      </w:tr>
      <w:tr w:rsidR="002E39B5" w:rsidRPr="00120C4D" w14:paraId="3C4E2637" w14:textId="77777777" w:rsidTr="002E4C43">
        <w:tc>
          <w:tcPr>
            <w:tcW w:w="2518" w:type="dxa"/>
          </w:tcPr>
          <w:p w14:paraId="719D5752" w14:textId="77777777" w:rsidR="002E39B5" w:rsidRPr="00120C4D" w:rsidRDefault="002E39B5" w:rsidP="002E4C43">
            <w:pPr>
              <w:jc w:val="both"/>
              <w:rPr>
                <w:rFonts w:ascii="Arial" w:hAnsi="Arial" w:cs="Arial"/>
              </w:rPr>
            </w:pPr>
            <w:r w:rsidRPr="00120C4D">
              <w:rPr>
                <w:rFonts w:ascii="Arial" w:hAnsi="Arial" w:cs="Arial"/>
              </w:rPr>
              <w:t xml:space="preserve">Fermeture </w:t>
            </w:r>
          </w:p>
        </w:tc>
        <w:tc>
          <w:tcPr>
            <w:tcW w:w="6694" w:type="dxa"/>
          </w:tcPr>
          <w:p w14:paraId="3C2BDE06" w14:textId="70B7EF81" w:rsidR="002E39B5" w:rsidRDefault="00517D5D" w:rsidP="002E4C43">
            <w:pPr>
              <w:jc w:val="both"/>
              <w:rPr>
                <w:rFonts w:ascii="Arial" w:hAnsi="Arial" w:cs="Arial"/>
                <w:sz w:val="20"/>
                <w:szCs w:val="20"/>
              </w:rPr>
            </w:pPr>
            <w:r>
              <w:rPr>
                <w:rFonts w:ascii="Arial" w:hAnsi="Arial" w:cs="Arial"/>
                <w:sz w:val="20"/>
                <w:szCs w:val="20"/>
              </w:rPr>
              <w:t xml:space="preserve">24 avril </w:t>
            </w:r>
            <w:r w:rsidR="002E39B5">
              <w:rPr>
                <w:rFonts w:ascii="Arial" w:hAnsi="Arial" w:cs="Arial"/>
                <w:sz w:val="20"/>
                <w:szCs w:val="20"/>
              </w:rPr>
              <w:t>2025</w:t>
            </w:r>
          </w:p>
          <w:p w14:paraId="79F1621F" w14:textId="77777777" w:rsidR="002E39B5" w:rsidRPr="00120C4D" w:rsidRDefault="002E39B5" w:rsidP="002E4C43">
            <w:pPr>
              <w:jc w:val="both"/>
              <w:rPr>
                <w:rFonts w:ascii="Arial" w:hAnsi="Arial" w:cs="Arial"/>
                <w:sz w:val="20"/>
                <w:szCs w:val="20"/>
              </w:rPr>
            </w:pPr>
          </w:p>
        </w:tc>
      </w:tr>
      <w:tr w:rsidR="002E39B5" w:rsidRPr="00780DD0" w14:paraId="689CE684" w14:textId="77777777" w:rsidTr="002E4C43">
        <w:trPr>
          <w:trHeight w:val="356"/>
        </w:trPr>
        <w:tc>
          <w:tcPr>
            <w:tcW w:w="2518" w:type="dxa"/>
          </w:tcPr>
          <w:p w14:paraId="1D1CD5A3" w14:textId="77777777" w:rsidR="002E39B5" w:rsidRPr="00120C4D" w:rsidRDefault="002E39B5" w:rsidP="002E4C43">
            <w:pPr>
              <w:jc w:val="both"/>
              <w:rPr>
                <w:rFonts w:ascii="Arial" w:hAnsi="Arial" w:cs="Arial"/>
              </w:rPr>
            </w:pPr>
            <w:r w:rsidRPr="00120C4D">
              <w:rPr>
                <w:rFonts w:ascii="Arial" w:hAnsi="Arial" w:cs="Arial"/>
              </w:rPr>
              <w:t>Délivrables</w:t>
            </w:r>
          </w:p>
        </w:tc>
        <w:tc>
          <w:tcPr>
            <w:tcW w:w="6694" w:type="dxa"/>
          </w:tcPr>
          <w:p w14:paraId="64B4A18E" w14:textId="130D0DCA" w:rsidR="002E39B5" w:rsidRDefault="00517D5D" w:rsidP="002E39B5">
            <w:pPr>
              <w:pStyle w:val="Paragraphedeliste"/>
              <w:numPr>
                <w:ilvl w:val="0"/>
                <w:numId w:val="1"/>
              </w:numPr>
              <w:jc w:val="both"/>
              <w:rPr>
                <w:rFonts w:ascii="Arial" w:hAnsi="Arial" w:cs="Arial"/>
                <w:sz w:val="20"/>
                <w:szCs w:val="20"/>
              </w:rPr>
            </w:pPr>
            <w:r>
              <w:rPr>
                <w:rFonts w:ascii="Arial" w:hAnsi="Arial" w:cs="Arial"/>
                <w:sz w:val="20"/>
                <w:szCs w:val="20"/>
              </w:rPr>
              <w:t>Projets de promotion de solutions spécifiques pour l’audiovisuel ;</w:t>
            </w:r>
          </w:p>
          <w:p w14:paraId="5D187BFE" w14:textId="77777777" w:rsidR="00517D5D" w:rsidRDefault="00517D5D" w:rsidP="002E39B5">
            <w:pPr>
              <w:pStyle w:val="Paragraphedeliste"/>
              <w:numPr>
                <w:ilvl w:val="0"/>
                <w:numId w:val="1"/>
              </w:numPr>
              <w:jc w:val="both"/>
              <w:rPr>
                <w:rFonts w:ascii="Arial" w:hAnsi="Arial" w:cs="Arial"/>
                <w:sz w:val="20"/>
                <w:szCs w:val="20"/>
              </w:rPr>
            </w:pPr>
            <w:r>
              <w:rPr>
                <w:rFonts w:ascii="Arial" w:hAnsi="Arial" w:cs="Arial"/>
                <w:sz w:val="20"/>
                <w:szCs w:val="20"/>
              </w:rPr>
              <w:t> Nouveaux processus créatifs</w:t>
            </w:r>
          </w:p>
          <w:p w14:paraId="40F09550" w14:textId="34E6E693" w:rsidR="00517D5D" w:rsidRPr="00780DD0" w:rsidRDefault="00517D5D" w:rsidP="002E39B5">
            <w:pPr>
              <w:pStyle w:val="Paragraphedeliste"/>
              <w:numPr>
                <w:ilvl w:val="0"/>
                <w:numId w:val="1"/>
              </w:numPr>
              <w:jc w:val="both"/>
              <w:rPr>
                <w:rFonts w:ascii="Arial" w:hAnsi="Arial" w:cs="Arial"/>
                <w:sz w:val="20"/>
                <w:szCs w:val="20"/>
              </w:rPr>
            </w:pPr>
            <w:r>
              <w:rPr>
                <w:rFonts w:ascii="Arial" w:hAnsi="Arial" w:cs="Arial"/>
                <w:sz w:val="20"/>
                <w:szCs w:val="20"/>
              </w:rPr>
              <w:t>Outils d’accompagnement de la transition numérique dans le secteur audiovisuel.</w:t>
            </w:r>
          </w:p>
        </w:tc>
      </w:tr>
      <w:tr w:rsidR="002E39B5" w:rsidRPr="00120C4D" w14:paraId="40C7C9F8" w14:textId="77777777" w:rsidTr="002E4C43">
        <w:tc>
          <w:tcPr>
            <w:tcW w:w="2518" w:type="dxa"/>
          </w:tcPr>
          <w:p w14:paraId="66444897" w14:textId="77777777" w:rsidR="002E39B5" w:rsidRPr="00120C4D" w:rsidRDefault="002E39B5" w:rsidP="002E4C43">
            <w:pPr>
              <w:jc w:val="both"/>
              <w:rPr>
                <w:rFonts w:ascii="Arial" w:hAnsi="Arial" w:cs="Arial"/>
              </w:rPr>
            </w:pPr>
            <w:r w:rsidRPr="00120C4D">
              <w:rPr>
                <w:rFonts w:ascii="Arial" w:hAnsi="Arial" w:cs="Arial"/>
              </w:rPr>
              <w:t>Eligibles</w:t>
            </w:r>
          </w:p>
        </w:tc>
        <w:tc>
          <w:tcPr>
            <w:tcW w:w="6694" w:type="dxa"/>
          </w:tcPr>
          <w:p w14:paraId="64A1C59C" w14:textId="5F308B89" w:rsidR="002E39B5" w:rsidRDefault="002E39B5" w:rsidP="002E4C43">
            <w:pPr>
              <w:jc w:val="both"/>
              <w:rPr>
                <w:rFonts w:ascii="Arial" w:hAnsi="Arial" w:cs="Arial"/>
                <w:sz w:val="20"/>
                <w:szCs w:val="20"/>
              </w:rPr>
            </w:pPr>
            <w:r>
              <w:rPr>
                <w:rFonts w:ascii="Arial" w:hAnsi="Arial" w:cs="Arial"/>
                <w:sz w:val="20"/>
                <w:szCs w:val="20"/>
              </w:rPr>
              <w:t xml:space="preserve">Sont éligibles : des entités légales publiques ou privées établies dans un Etat membre ou un Etat associé, inscrites au registre des participants. Les personnes individuelles ne sont pas admises. Les organisations européennes ne peuvent pas faire partie du consortium, à l’exception du Centre commun de Recherche. </w:t>
            </w:r>
            <w:r w:rsidR="0047733B">
              <w:rPr>
                <w:rFonts w:ascii="Arial" w:hAnsi="Arial" w:cs="Arial"/>
                <w:sz w:val="20"/>
                <w:szCs w:val="20"/>
              </w:rPr>
              <w:t>Sont également admises les organisations sectorielles</w:t>
            </w:r>
            <w:r>
              <w:rPr>
                <w:rFonts w:ascii="Arial" w:hAnsi="Arial" w:cs="Arial"/>
                <w:sz w:val="20"/>
                <w:szCs w:val="20"/>
              </w:rPr>
              <w:t>.</w:t>
            </w:r>
          </w:p>
          <w:p w14:paraId="2D26DC12" w14:textId="77777777" w:rsidR="002E39B5" w:rsidRDefault="002E39B5" w:rsidP="002E4C43">
            <w:pPr>
              <w:jc w:val="both"/>
              <w:rPr>
                <w:rFonts w:ascii="Arial" w:hAnsi="Arial" w:cs="Arial"/>
                <w:sz w:val="20"/>
                <w:szCs w:val="20"/>
              </w:rPr>
            </w:pPr>
          </w:p>
          <w:p w14:paraId="46D575AE" w14:textId="0A3C636F" w:rsidR="002E39B5" w:rsidRDefault="0047733B" w:rsidP="002E4C43">
            <w:pPr>
              <w:jc w:val="both"/>
              <w:rPr>
                <w:rFonts w:ascii="Arial" w:hAnsi="Arial" w:cs="Arial"/>
                <w:sz w:val="20"/>
                <w:szCs w:val="20"/>
              </w:rPr>
            </w:pPr>
            <w:r>
              <w:rPr>
                <w:rFonts w:ascii="Arial" w:hAnsi="Arial" w:cs="Arial"/>
                <w:sz w:val="20"/>
                <w:szCs w:val="20"/>
              </w:rPr>
              <w:t>Les candidatures peuvent émaner d’une seule entité ou d’un consortium. Dans ce dernier cas, le Desk Creative Europe peut être le coordinateur du projet.</w:t>
            </w:r>
          </w:p>
          <w:p w14:paraId="06107792" w14:textId="77777777" w:rsidR="002E39B5" w:rsidRPr="00696ECF" w:rsidRDefault="002E39B5" w:rsidP="002E4C43">
            <w:pPr>
              <w:jc w:val="both"/>
              <w:rPr>
                <w:rFonts w:ascii="Arial" w:hAnsi="Arial" w:cs="Arial"/>
                <w:sz w:val="20"/>
                <w:szCs w:val="20"/>
              </w:rPr>
            </w:pPr>
          </w:p>
        </w:tc>
      </w:tr>
      <w:tr w:rsidR="002E39B5" w:rsidRPr="00120C4D" w14:paraId="79F03A2C" w14:textId="77777777" w:rsidTr="002E4C43">
        <w:tc>
          <w:tcPr>
            <w:tcW w:w="2518" w:type="dxa"/>
          </w:tcPr>
          <w:p w14:paraId="4B9C1632" w14:textId="77777777" w:rsidR="002E39B5" w:rsidRPr="00120C4D" w:rsidRDefault="002E39B5" w:rsidP="002E4C43">
            <w:pPr>
              <w:jc w:val="both"/>
              <w:rPr>
                <w:rFonts w:ascii="Arial" w:hAnsi="Arial" w:cs="Arial"/>
              </w:rPr>
            </w:pPr>
            <w:r w:rsidRPr="00120C4D">
              <w:rPr>
                <w:rFonts w:ascii="Arial" w:hAnsi="Arial" w:cs="Arial"/>
              </w:rPr>
              <w:t>Conditions spécifiques</w:t>
            </w:r>
          </w:p>
        </w:tc>
        <w:tc>
          <w:tcPr>
            <w:tcW w:w="6694" w:type="dxa"/>
          </w:tcPr>
          <w:p w14:paraId="3E0C539B" w14:textId="79736430" w:rsidR="002E39B5" w:rsidRPr="00696ECF" w:rsidRDefault="002E39B5" w:rsidP="002E4C43">
            <w:pPr>
              <w:jc w:val="both"/>
              <w:rPr>
                <w:rFonts w:ascii="Arial" w:hAnsi="Arial" w:cs="Arial"/>
                <w:sz w:val="20"/>
                <w:szCs w:val="20"/>
              </w:rPr>
            </w:pPr>
            <w:r>
              <w:rPr>
                <w:rFonts w:ascii="Arial" w:hAnsi="Arial" w:cs="Arial"/>
                <w:sz w:val="20"/>
                <w:szCs w:val="20"/>
              </w:rPr>
              <w:t xml:space="preserve">Les propositions doivent être soumises électroniquement. La partie B doit décrire techniquement le dossier. Les annexes doivent reprendre un budget détaillé. La proposition ne peut pas dépasser </w:t>
            </w:r>
            <w:r w:rsidR="0047733B">
              <w:rPr>
                <w:rFonts w:ascii="Arial" w:hAnsi="Arial" w:cs="Arial"/>
                <w:sz w:val="20"/>
                <w:szCs w:val="20"/>
              </w:rPr>
              <w:t>7</w:t>
            </w:r>
            <w:r>
              <w:rPr>
                <w:rFonts w:ascii="Arial" w:hAnsi="Arial" w:cs="Arial"/>
                <w:sz w:val="20"/>
                <w:szCs w:val="20"/>
              </w:rPr>
              <w:t xml:space="preserve">0 pages. </w:t>
            </w:r>
          </w:p>
        </w:tc>
      </w:tr>
      <w:tr w:rsidR="002E39B5" w:rsidRPr="00120C4D" w14:paraId="5C21899A" w14:textId="77777777" w:rsidTr="002E4C43">
        <w:tc>
          <w:tcPr>
            <w:tcW w:w="2518" w:type="dxa"/>
          </w:tcPr>
          <w:p w14:paraId="0FF49429" w14:textId="77777777" w:rsidR="002E39B5" w:rsidRPr="00120C4D" w:rsidRDefault="002E39B5" w:rsidP="002E4C43">
            <w:pPr>
              <w:jc w:val="both"/>
              <w:rPr>
                <w:rFonts w:ascii="Arial" w:hAnsi="Arial" w:cs="Arial"/>
              </w:rPr>
            </w:pPr>
            <w:r w:rsidRPr="00120C4D">
              <w:rPr>
                <w:rFonts w:ascii="Arial" w:hAnsi="Arial" w:cs="Arial"/>
              </w:rPr>
              <w:lastRenderedPageBreak/>
              <w:t>Critères d’évaluation</w:t>
            </w:r>
          </w:p>
        </w:tc>
        <w:tc>
          <w:tcPr>
            <w:tcW w:w="6694" w:type="dxa"/>
          </w:tcPr>
          <w:p w14:paraId="34E4AB35" w14:textId="47D54669" w:rsidR="002E39B5" w:rsidRDefault="002E39B5" w:rsidP="002E39B5">
            <w:pPr>
              <w:pStyle w:val="Paragraphedeliste"/>
              <w:numPr>
                <w:ilvl w:val="0"/>
                <w:numId w:val="2"/>
              </w:numPr>
              <w:jc w:val="both"/>
              <w:rPr>
                <w:rFonts w:ascii="Arial" w:hAnsi="Arial" w:cs="Arial"/>
                <w:sz w:val="20"/>
                <w:szCs w:val="20"/>
              </w:rPr>
            </w:pPr>
            <w:r>
              <w:rPr>
                <w:rFonts w:ascii="Arial" w:hAnsi="Arial" w:cs="Arial"/>
                <w:sz w:val="20"/>
                <w:szCs w:val="20"/>
              </w:rPr>
              <w:t xml:space="preserve">Relevance : </w:t>
            </w:r>
            <w:r w:rsidR="0047733B">
              <w:rPr>
                <w:rFonts w:ascii="Arial" w:hAnsi="Arial" w:cs="Arial"/>
                <w:sz w:val="20"/>
                <w:szCs w:val="20"/>
              </w:rPr>
              <w:t>cohérence avec les objectifs de l’appel, adéquation des stratégies, inclusion.</w:t>
            </w:r>
          </w:p>
          <w:p w14:paraId="6AA3DC1D" w14:textId="77777777" w:rsidR="0047733B" w:rsidRDefault="002E39B5" w:rsidP="0047733B">
            <w:pPr>
              <w:pStyle w:val="Paragraphedeliste"/>
              <w:numPr>
                <w:ilvl w:val="0"/>
                <w:numId w:val="2"/>
              </w:numPr>
              <w:jc w:val="both"/>
              <w:rPr>
                <w:rFonts w:ascii="Arial" w:hAnsi="Arial" w:cs="Arial"/>
                <w:sz w:val="20"/>
                <w:szCs w:val="20"/>
              </w:rPr>
            </w:pPr>
            <w:r>
              <w:rPr>
                <w:rFonts w:ascii="Arial" w:hAnsi="Arial" w:cs="Arial"/>
                <w:sz w:val="20"/>
                <w:szCs w:val="20"/>
              </w:rPr>
              <w:t>Qualité</w:t>
            </w:r>
            <w:r w:rsidR="0047733B">
              <w:rPr>
                <w:rFonts w:ascii="Arial" w:hAnsi="Arial" w:cs="Arial"/>
                <w:sz w:val="20"/>
                <w:szCs w:val="20"/>
              </w:rPr>
              <w:t>.</w:t>
            </w:r>
          </w:p>
          <w:p w14:paraId="78674D10" w14:textId="77777777" w:rsidR="002E39B5" w:rsidRDefault="0047733B" w:rsidP="0047733B">
            <w:pPr>
              <w:pStyle w:val="Paragraphedeliste"/>
              <w:numPr>
                <w:ilvl w:val="0"/>
                <w:numId w:val="2"/>
              </w:numPr>
              <w:jc w:val="both"/>
              <w:rPr>
                <w:rFonts w:ascii="Arial" w:hAnsi="Arial" w:cs="Arial"/>
                <w:sz w:val="20"/>
                <w:szCs w:val="20"/>
              </w:rPr>
            </w:pPr>
            <w:r>
              <w:rPr>
                <w:rFonts w:ascii="Arial" w:hAnsi="Arial" w:cs="Arial"/>
                <w:sz w:val="20"/>
                <w:szCs w:val="20"/>
              </w:rPr>
              <w:t>Gestion du projet</w:t>
            </w:r>
          </w:p>
          <w:p w14:paraId="751C5CD0" w14:textId="3B0863BF" w:rsidR="0047733B" w:rsidRPr="0047733B" w:rsidRDefault="0047733B" w:rsidP="0047733B">
            <w:pPr>
              <w:pStyle w:val="Paragraphedeliste"/>
              <w:numPr>
                <w:ilvl w:val="0"/>
                <w:numId w:val="2"/>
              </w:numPr>
              <w:jc w:val="both"/>
              <w:rPr>
                <w:rFonts w:ascii="Arial" w:hAnsi="Arial" w:cs="Arial"/>
                <w:sz w:val="20"/>
                <w:szCs w:val="20"/>
              </w:rPr>
            </w:pPr>
            <w:r>
              <w:rPr>
                <w:rFonts w:ascii="Arial" w:hAnsi="Arial" w:cs="Arial"/>
                <w:sz w:val="20"/>
                <w:szCs w:val="20"/>
              </w:rPr>
              <w:t>Dissémination</w:t>
            </w:r>
          </w:p>
        </w:tc>
      </w:tr>
      <w:tr w:rsidR="002E39B5" w:rsidRPr="00120C4D" w14:paraId="31B8C302" w14:textId="77777777" w:rsidTr="002E4C43">
        <w:tc>
          <w:tcPr>
            <w:tcW w:w="2518" w:type="dxa"/>
          </w:tcPr>
          <w:p w14:paraId="0DA8C479" w14:textId="77777777" w:rsidR="002E39B5" w:rsidRPr="00120C4D" w:rsidRDefault="002E39B5" w:rsidP="002E4C43">
            <w:pPr>
              <w:jc w:val="both"/>
              <w:rPr>
                <w:rFonts w:ascii="Arial" w:hAnsi="Arial" w:cs="Arial"/>
              </w:rPr>
            </w:pPr>
            <w:r w:rsidRPr="00120C4D">
              <w:rPr>
                <w:rFonts w:ascii="Arial" w:hAnsi="Arial" w:cs="Arial"/>
              </w:rPr>
              <w:t>Evaluation minimale</w:t>
            </w:r>
          </w:p>
        </w:tc>
        <w:tc>
          <w:tcPr>
            <w:tcW w:w="6694" w:type="dxa"/>
          </w:tcPr>
          <w:p w14:paraId="1E85FC2C" w14:textId="6DADDADF" w:rsidR="002E39B5" w:rsidRDefault="002E39B5" w:rsidP="002E4C43">
            <w:pPr>
              <w:jc w:val="both"/>
              <w:rPr>
                <w:rFonts w:ascii="Arial" w:hAnsi="Arial" w:cs="Arial"/>
                <w:sz w:val="20"/>
                <w:szCs w:val="20"/>
              </w:rPr>
            </w:pPr>
            <w:r>
              <w:rPr>
                <w:rFonts w:ascii="Arial" w:hAnsi="Arial" w:cs="Arial"/>
                <w:sz w:val="20"/>
                <w:szCs w:val="20"/>
              </w:rPr>
              <w:t>Rel</w:t>
            </w:r>
            <w:r w:rsidR="0047733B">
              <w:rPr>
                <w:rFonts w:ascii="Arial" w:hAnsi="Arial" w:cs="Arial"/>
                <w:sz w:val="20"/>
                <w:szCs w:val="20"/>
              </w:rPr>
              <w:t>evance</w:t>
            </w:r>
            <w:r>
              <w:rPr>
                <w:rFonts w:ascii="Arial" w:hAnsi="Arial" w:cs="Arial"/>
                <w:sz w:val="20"/>
                <w:szCs w:val="20"/>
              </w:rPr>
              <w:t> : /</w:t>
            </w:r>
            <w:r w:rsidR="0047733B">
              <w:rPr>
                <w:rFonts w:ascii="Arial" w:hAnsi="Arial" w:cs="Arial"/>
                <w:sz w:val="20"/>
                <w:szCs w:val="20"/>
              </w:rPr>
              <w:t>35</w:t>
            </w:r>
          </w:p>
          <w:p w14:paraId="1527EFE4" w14:textId="7CEA8056" w:rsidR="002E39B5" w:rsidRDefault="002E39B5" w:rsidP="002E4C43">
            <w:pPr>
              <w:jc w:val="both"/>
              <w:rPr>
                <w:rFonts w:ascii="Arial" w:hAnsi="Arial" w:cs="Arial"/>
                <w:sz w:val="20"/>
                <w:szCs w:val="20"/>
              </w:rPr>
            </w:pPr>
            <w:r>
              <w:rPr>
                <w:rFonts w:ascii="Arial" w:hAnsi="Arial" w:cs="Arial"/>
                <w:sz w:val="20"/>
                <w:szCs w:val="20"/>
              </w:rPr>
              <w:t>Qualité : /</w:t>
            </w:r>
            <w:r w:rsidR="0047733B">
              <w:rPr>
                <w:rFonts w:ascii="Arial" w:hAnsi="Arial" w:cs="Arial"/>
                <w:sz w:val="20"/>
                <w:szCs w:val="20"/>
              </w:rPr>
              <w:t>40</w:t>
            </w:r>
          </w:p>
          <w:p w14:paraId="382AB161" w14:textId="74D93F59" w:rsidR="002E39B5" w:rsidRDefault="002E39B5" w:rsidP="002E4C43">
            <w:pPr>
              <w:jc w:val="both"/>
              <w:rPr>
                <w:rFonts w:ascii="Arial" w:hAnsi="Arial" w:cs="Arial"/>
                <w:sz w:val="20"/>
                <w:szCs w:val="20"/>
              </w:rPr>
            </w:pPr>
            <w:r>
              <w:rPr>
                <w:rFonts w:ascii="Arial" w:hAnsi="Arial" w:cs="Arial"/>
                <w:sz w:val="20"/>
                <w:szCs w:val="20"/>
              </w:rPr>
              <w:t>Impact : /10</w:t>
            </w:r>
          </w:p>
          <w:p w14:paraId="7FF3983E" w14:textId="4484DE19" w:rsidR="0047733B" w:rsidRDefault="0047733B" w:rsidP="002E4C43">
            <w:pPr>
              <w:jc w:val="both"/>
              <w:rPr>
                <w:rFonts w:ascii="Arial" w:hAnsi="Arial" w:cs="Arial"/>
                <w:sz w:val="20"/>
                <w:szCs w:val="20"/>
              </w:rPr>
            </w:pPr>
            <w:r>
              <w:rPr>
                <w:rFonts w:ascii="Arial" w:hAnsi="Arial" w:cs="Arial"/>
                <w:sz w:val="20"/>
                <w:szCs w:val="20"/>
              </w:rPr>
              <w:t>Dissémination : /15</w:t>
            </w:r>
          </w:p>
          <w:p w14:paraId="58E3AEE1" w14:textId="72C50D02" w:rsidR="002E39B5" w:rsidRPr="00AB2040" w:rsidRDefault="002E39B5" w:rsidP="002E4C43">
            <w:pPr>
              <w:jc w:val="both"/>
              <w:rPr>
                <w:rFonts w:ascii="Arial" w:hAnsi="Arial" w:cs="Arial"/>
                <w:sz w:val="20"/>
                <w:szCs w:val="20"/>
              </w:rPr>
            </w:pPr>
            <w:r>
              <w:rPr>
                <w:rFonts w:ascii="Arial" w:hAnsi="Arial" w:cs="Arial"/>
                <w:sz w:val="20"/>
                <w:szCs w:val="20"/>
              </w:rPr>
              <w:t xml:space="preserve">Score total : min. </w:t>
            </w:r>
            <w:r w:rsidR="0047733B">
              <w:rPr>
                <w:rFonts w:ascii="Arial" w:hAnsi="Arial" w:cs="Arial"/>
                <w:sz w:val="20"/>
                <w:szCs w:val="20"/>
              </w:rPr>
              <w:t>70/100</w:t>
            </w:r>
          </w:p>
        </w:tc>
      </w:tr>
      <w:tr w:rsidR="002E39B5" w:rsidRPr="00120C4D" w14:paraId="5081A51F" w14:textId="77777777" w:rsidTr="002E4C43">
        <w:tc>
          <w:tcPr>
            <w:tcW w:w="2518" w:type="dxa"/>
          </w:tcPr>
          <w:p w14:paraId="181DF254" w14:textId="77777777" w:rsidR="002E39B5" w:rsidRPr="00120C4D" w:rsidRDefault="002E39B5" w:rsidP="002E4C43">
            <w:pPr>
              <w:rPr>
                <w:rFonts w:ascii="Arial" w:hAnsi="Arial" w:cs="Arial"/>
              </w:rPr>
            </w:pPr>
            <w:r>
              <w:rPr>
                <w:rFonts w:ascii="Arial" w:hAnsi="Arial" w:cs="Arial"/>
              </w:rPr>
              <w:t>Type de financement et m</w:t>
            </w:r>
            <w:r w:rsidRPr="00120C4D">
              <w:rPr>
                <w:rFonts w:ascii="Arial" w:hAnsi="Arial" w:cs="Arial"/>
              </w:rPr>
              <w:t>ontant maximum</w:t>
            </w:r>
          </w:p>
        </w:tc>
        <w:tc>
          <w:tcPr>
            <w:tcW w:w="6694" w:type="dxa"/>
          </w:tcPr>
          <w:p w14:paraId="4FE648BF" w14:textId="782F0AD6" w:rsidR="002E39B5" w:rsidRPr="00120C4D" w:rsidRDefault="002E39B5" w:rsidP="002E4C43">
            <w:pPr>
              <w:jc w:val="both"/>
              <w:rPr>
                <w:rFonts w:ascii="Arial" w:hAnsi="Arial" w:cs="Arial"/>
                <w:sz w:val="20"/>
                <w:szCs w:val="20"/>
              </w:rPr>
            </w:pPr>
            <w:r>
              <w:rPr>
                <w:rFonts w:ascii="Arial" w:hAnsi="Arial" w:cs="Arial"/>
                <w:sz w:val="20"/>
                <w:szCs w:val="20"/>
              </w:rPr>
              <w:t>Subvention représentant 80% des coûts éligibles</w:t>
            </w:r>
            <w:r w:rsidR="0047733B">
              <w:rPr>
                <w:rFonts w:ascii="Arial" w:hAnsi="Arial" w:cs="Arial"/>
                <w:sz w:val="20"/>
                <w:szCs w:val="20"/>
              </w:rPr>
              <w:t xml:space="preserve"> rembousés.</w:t>
            </w:r>
          </w:p>
        </w:tc>
      </w:tr>
    </w:tbl>
    <w:p w14:paraId="18A87905" w14:textId="77777777" w:rsidR="002E39B5" w:rsidRPr="00120C4D" w:rsidRDefault="002E39B5" w:rsidP="002E39B5">
      <w:pPr>
        <w:rPr>
          <w:rFonts w:ascii="Arial" w:hAnsi="Arial" w:cs="Arial"/>
        </w:rPr>
      </w:pPr>
    </w:p>
    <w:p w14:paraId="123777BB" w14:textId="77777777" w:rsidR="002E39B5" w:rsidRDefault="002E39B5" w:rsidP="002E39B5"/>
    <w:p w14:paraId="74F8FC46" w14:textId="77777777" w:rsidR="002E39B5" w:rsidRDefault="002E39B5" w:rsidP="002E39B5"/>
    <w:p w14:paraId="0EF3043E" w14:textId="77777777" w:rsidR="002E39B5" w:rsidRDefault="002E39B5" w:rsidP="002E39B5"/>
    <w:p w14:paraId="1BF666EA" w14:textId="77777777" w:rsidR="002E39B5" w:rsidRDefault="002E39B5" w:rsidP="002E39B5"/>
    <w:p w14:paraId="56D6CED0" w14:textId="77777777" w:rsidR="002E39B5" w:rsidRDefault="002E39B5" w:rsidP="002E39B5"/>
    <w:p w14:paraId="09C8D70F" w14:textId="77777777" w:rsidR="002E39B5" w:rsidRDefault="002E39B5" w:rsidP="002E39B5"/>
    <w:p w14:paraId="191A3242" w14:textId="77777777" w:rsidR="002E39B5" w:rsidRDefault="002E39B5"/>
    <w:sectPr w:rsidR="002E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40CF"/>
    <w:multiLevelType w:val="hybridMultilevel"/>
    <w:tmpl w:val="8F2AA768"/>
    <w:lvl w:ilvl="0" w:tplc="8E98C66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3616F"/>
    <w:multiLevelType w:val="hybridMultilevel"/>
    <w:tmpl w:val="38FA1B70"/>
    <w:lvl w:ilvl="0" w:tplc="080C0001">
      <w:start w:val="1"/>
      <w:numFmt w:val="bullet"/>
      <w:lvlText w:val=""/>
      <w:lvlJc w:val="left"/>
      <w:pPr>
        <w:ind w:left="643" w:hanging="360"/>
      </w:pPr>
      <w:rPr>
        <w:rFonts w:ascii="Symbol" w:hAnsi="Symbol" w:hint="default"/>
      </w:rPr>
    </w:lvl>
    <w:lvl w:ilvl="1" w:tplc="080C0003" w:tentative="1">
      <w:start w:val="1"/>
      <w:numFmt w:val="bullet"/>
      <w:lvlText w:val="o"/>
      <w:lvlJc w:val="left"/>
      <w:pPr>
        <w:ind w:left="1363" w:hanging="360"/>
      </w:pPr>
      <w:rPr>
        <w:rFonts w:ascii="Courier New" w:hAnsi="Courier New" w:cs="Courier New" w:hint="default"/>
      </w:rPr>
    </w:lvl>
    <w:lvl w:ilvl="2" w:tplc="080C0005" w:tentative="1">
      <w:start w:val="1"/>
      <w:numFmt w:val="bullet"/>
      <w:lvlText w:val=""/>
      <w:lvlJc w:val="left"/>
      <w:pPr>
        <w:ind w:left="2083" w:hanging="360"/>
      </w:pPr>
      <w:rPr>
        <w:rFonts w:ascii="Wingdings" w:hAnsi="Wingdings" w:hint="default"/>
      </w:rPr>
    </w:lvl>
    <w:lvl w:ilvl="3" w:tplc="080C0001" w:tentative="1">
      <w:start w:val="1"/>
      <w:numFmt w:val="bullet"/>
      <w:lvlText w:val=""/>
      <w:lvlJc w:val="left"/>
      <w:pPr>
        <w:ind w:left="2803" w:hanging="360"/>
      </w:pPr>
      <w:rPr>
        <w:rFonts w:ascii="Symbol" w:hAnsi="Symbol" w:hint="default"/>
      </w:rPr>
    </w:lvl>
    <w:lvl w:ilvl="4" w:tplc="080C0003" w:tentative="1">
      <w:start w:val="1"/>
      <w:numFmt w:val="bullet"/>
      <w:lvlText w:val="o"/>
      <w:lvlJc w:val="left"/>
      <w:pPr>
        <w:ind w:left="3523" w:hanging="360"/>
      </w:pPr>
      <w:rPr>
        <w:rFonts w:ascii="Courier New" w:hAnsi="Courier New" w:cs="Courier New" w:hint="default"/>
      </w:rPr>
    </w:lvl>
    <w:lvl w:ilvl="5" w:tplc="080C0005" w:tentative="1">
      <w:start w:val="1"/>
      <w:numFmt w:val="bullet"/>
      <w:lvlText w:val=""/>
      <w:lvlJc w:val="left"/>
      <w:pPr>
        <w:ind w:left="4243" w:hanging="360"/>
      </w:pPr>
      <w:rPr>
        <w:rFonts w:ascii="Wingdings" w:hAnsi="Wingdings" w:hint="default"/>
      </w:rPr>
    </w:lvl>
    <w:lvl w:ilvl="6" w:tplc="080C0001" w:tentative="1">
      <w:start w:val="1"/>
      <w:numFmt w:val="bullet"/>
      <w:lvlText w:val=""/>
      <w:lvlJc w:val="left"/>
      <w:pPr>
        <w:ind w:left="4963" w:hanging="360"/>
      </w:pPr>
      <w:rPr>
        <w:rFonts w:ascii="Symbol" w:hAnsi="Symbol" w:hint="default"/>
      </w:rPr>
    </w:lvl>
    <w:lvl w:ilvl="7" w:tplc="080C0003" w:tentative="1">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abstractNum w:abstractNumId="2" w15:restartNumberingAfterBreak="0">
    <w:nsid w:val="54E06659"/>
    <w:multiLevelType w:val="hybridMultilevel"/>
    <w:tmpl w:val="85CE9A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6165686">
    <w:abstractNumId w:val="2"/>
  </w:num>
  <w:num w:numId="2" w16cid:durableId="66418537">
    <w:abstractNumId w:val="1"/>
  </w:num>
  <w:num w:numId="3" w16cid:durableId="22145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B5"/>
    <w:rsid w:val="002E39B5"/>
    <w:rsid w:val="0047733B"/>
    <w:rsid w:val="00517D5D"/>
    <w:rsid w:val="006153FE"/>
    <w:rsid w:val="00661EF6"/>
    <w:rsid w:val="00717667"/>
    <w:rsid w:val="008400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1726"/>
  <w15:chartTrackingRefBased/>
  <w15:docId w15:val="{59F0099D-7916-4A89-819C-EABFD965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3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3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39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39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39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39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39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39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39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9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39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39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39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39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39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39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39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39B5"/>
    <w:rPr>
      <w:rFonts w:eastAsiaTheme="majorEastAsia" w:cstheme="majorBidi"/>
      <w:color w:val="272727" w:themeColor="text1" w:themeTint="D8"/>
    </w:rPr>
  </w:style>
  <w:style w:type="paragraph" w:styleId="Titre">
    <w:name w:val="Title"/>
    <w:basedOn w:val="Normal"/>
    <w:next w:val="Normal"/>
    <w:link w:val="TitreCar"/>
    <w:uiPriority w:val="10"/>
    <w:qFormat/>
    <w:rsid w:val="002E3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39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39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39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39B5"/>
    <w:pPr>
      <w:spacing w:before="160"/>
      <w:jc w:val="center"/>
    </w:pPr>
    <w:rPr>
      <w:i/>
      <w:iCs/>
      <w:color w:val="404040" w:themeColor="text1" w:themeTint="BF"/>
    </w:rPr>
  </w:style>
  <w:style w:type="character" w:customStyle="1" w:styleId="CitationCar">
    <w:name w:val="Citation Car"/>
    <w:basedOn w:val="Policepardfaut"/>
    <w:link w:val="Citation"/>
    <w:uiPriority w:val="29"/>
    <w:rsid w:val="002E39B5"/>
    <w:rPr>
      <w:i/>
      <w:iCs/>
      <w:color w:val="404040" w:themeColor="text1" w:themeTint="BF"/>
    </w:rPr>
  </w:style>
  <w:style w:type="paragraph" w:styleId="Paragraphedeliste">
    <w:name w:val="List Paragraph"/>
    <w:basedOn w:val="Normal"/>
    <w:uiPriority w:val="34"/>
    <w:qFormat/>
    <w:rsid w:val="002E39B5"/>
    <w:pPr>
      <w:ind w:left="720"/>
      <w:contextualSpacing/>
    </w:pPr>
  </w:style>
  <w:style w:type="character" w:styleId="Accentuationintense">
    <w:name w:val="Intense Emphasis"/>
    <w:basedOn w:val="Policepardfaut"/>
    <w:uiPriority w:val="21"/>
    <w:qFormat/>
    <w:rsid w:val="002E39B5"/>
    <w:rPr>
      <w:i/>
      <w:iCs/>
      <w:color w:val="0F4761" w:themeColor="accent1" w:themeShade="BF"/>
    </w:rPr>
  </w:style>
  <w:style w:type="paragraph" w:styleId="Citationintense">
    <w:name w:val="Intense Quote"/>
    <w:basedOn w:val="Normal"/>
    <w:next w:val="Normal"/>
    <w:link w:val="CitationintenseCar"/>
    <w:uiPriority w:val="30"/>
    <w:qFormat/>
    <w:rsid w:val="002E3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39B5"/>
    <w:rPr>
      <w:i/>
      <w:iCs/>
      <w:color w:val="0F4761" w:themeColor="accent1" w:themeShade="BF"/>
    </w:rPr>
  </w:style>
  <w:style w:type="character" w:styleId="Rfrenceintense">
    <w:name w:val="Intense Reference"/>
    <w:basedOn w:val="Policepardfaut"/>
    <w:uiPriority w:val="32"/>
    <w:qFormat/>
    <w:rsid w:val="002E39B5"/>
    <w:rPr>
      <w:b/>
      <w:bCs/>
      <w:smallCaps/>
      <w:color w:val="0F4761" w:themeColor="accent1" w:themeShade="BF"/>
      <w:spacing w:val="5"/>
    </w:rPr>
  </w:style>
  <w:style w:type="paragraph" w:styleId="En-tte">
    <w:name w:val="header"/>
    <w:basedOn w:val="Normal"/>
    <w:link w:val="En-tteCar"/>
    <w:uiPriority w:val="99"/>
    <w:unhideWhenUsed/>
    <w:rsid w:val="002E39B5"/>
    <w:pPr>
      <w:tabs>
        <w:tab w:val="center" w:pos="4536"/>
        <w:tab w:val="right" w:pos="9072"/>
      </w:tabs>
      <w:spacing w:after="0" w:line="240" w:lineRule="auto"/>
    </w:pPr>
    <w:rPr>
      <w:kern w:val="0"/>
      <w:sz w:val="22"/>
      <w:szCs w:val="22"/>
      <w14:ligatures w14:val="none"/>
    </w:rPr>
  </w:style>
  <w:style w:type="character" w:customStyle="1" w:styleId="En-tteCar">
    <w:name w:val="En-tête Car"/>
    <w:basedOn w:val="Policepardfaut"/>
    <w:link w:val="En-tte"/>
    <w:uiPriority w:val="99"/>
    <w:rsid w:val="002E39B5"/>
    <w:rPr>
      <w:kern w:val="0"/>
      <w:sz w:val="22"/>
      <w:szCs w:val="22"/>
      <w14:ligatures w14:val="none"/>
    </w:rPr>
  </w:style>
  <w:style w:type="table" w:styleId="Grilledutableau">
    <w:name w:val="Table Grid"/>
    <w:basedOn w:val="TableauNormal"/>
    <w:uiPriority w:val="59"/>
    <w:rsid w:val="002E39B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Anne</dc:creator>
  <cp:keywords/>
  <dc:description/>
  <cp:lastModifiedBy>Peeters Anne</cp:lastModifiedBy>
  <cp:revision>1</cp:revision>
  <dcterms:created xsi:type="dcterms:W3CDTF">2024-10-09T13:50:00Z</dcterms:created>
  <dcterms:modified xsi:type="dcterms:W3CDTF">2024-10-09T14:18:00Z</dcterms:modified>
</cp:coreProperties>
</file>