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270A1" w14:textId="77777777" w:rsidR="004A22BD" w:rsidRDefault="004A22BD" w:rsidP="004A22BD">
      <w:pPr>
        <w:pStyle w:val="En-tte"/>
      </w:pPr>
      <w:r>
        <w:rPr>
          <w:rFonts w:cs="Calibri"/>
          <w:noProof/>
          <w:lang w:eastAsia="fr-BE"/>
        </w:rPr>
        <w:drawing>
          <wp:inline distT="0" distB="0" distL="0" distR="0" wp14:anchorId="096CFC33" wp14:editId="3513E4AE">
            <wp:extent cx="595564" cy="437088"/>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6701" cy="437922"/>
                    </a:xfrm>
                    <a:prstGeom prst="rect">
                      <a:avLst/>
                    </a:prstGeom>
                  </pic:spPr>
                </pic:pic>
              </a:graphicData>
            </a:graphic>
          </wp:inline>
        </w:drawing>
      </w:r>
    </w:p>
    <w:p w14:paraId="71A7B603" w14:textId="77777777" w:rsidR="004A22BD" w:rsidRDefault="004A22BD" w:rsidP="004A22BD"/>
    <w:p w14:paraId="49FE9603" w14:textId="77777777" w:rsidR="004A22BD" w:rsidRPr="00120C4D" w:rsidRDefault="004A22BD" w:rsidP="004A22BD">
      <w:pPr>
        <w:jc w:val="center"/>
        <w:rPr>
          <w:rFonts w:ascii="Arial" w:hAnsi="Arial" w:cs="Arial"/>
          <w:b/>
          <w:sz w:val="28"/>
          <w:szCs w:val="28"/>
          <w:u w:val="single"/>
          <w:lang w:val="fr-FR"/>
        </w:rPr>
      </w:pPr>
      <w:r w:rsidRPr="00120C4D">
        <w:rPr>
          <w:rFonts w:ascii="Arial" w:hAnsi="Arial" w:cs="Arial"/>
          <w:b/>
          <w:sz w:val="28"/>
          <w:szCs w:val="28"/>
          <w:u w:val="single"/>
          <w:lang w:val="fr-FR"/>
        </w:rPr>
        <w:t>Appel à proposition de la Commission européenne</w:t>
      </w:r>
    </w:p>
    <w:p w14:paraId="46CDD3EC" w14:textId="77777777" w:rsidR="004A22BD" w:rsidRPr="00120C4D" w:rsidRDefault="004A22BD" w:rsidP="004A22BD">
      <w:pPr>
        <w:jc w:val="center"/>
        <w:rPr>
          <w:rFonts w:ascii="Arial" w:hAnsi="Arial" w:cs="Arial"/>
          <w:b/>
          <w:sz w:val="28"/>
          <w:szCs w:val="28"/>
          <w:u w:val="single"/>
          <w:lang w:val="fr-FR"/>
        </w:rPr>
      </w:pPr>
    </w:p>
    <w:tbl>
      <w:tblPr>
        <w:tblStyle w:val="Grilledutableau"/>
        <w:tblW w:w="0" w:type="auto"/>
        <w:tblLook w:val="04A0" w:firstRow="1" w:lastRow="0" w:firstColumn="1" w:lastColumn="0" w:noHBand="0" w:noVBand="1"/>
      </w:tblPr>
      <w:tblGrid>
        <w:gridCol w:w="2488"/>
        <w:gridCol w:w="6574"/>
      </w:tblGrid>
      <w:tr w:rsidR="004A22BD" w:rsidRPr="002E39B5" w14:paraId="5D139D76" w14:textId="77777777" w:rsidTr="006B51BC">
        <w:tc>
          <w:tcPr>
            <w:tcW w:w="9212" w:type="dxa"/>
            <w:gridSpan w:val="2"/>
          </w:tcPr>
          <w:p w14:paraId="6147CE9D" w14:textId="2312216B" w:rsidR="004A22BD" w:rsidRPr="002E39B5" w:rsidRDefault="004A22BD" w:rsidP="006B51BC">
            <w:pPr>
              <w:rPr>
                <w:rFonts w:ascii="Arial" w:hAnsi="Arial" w:cs="Arial"/>
                <w:b/>
                <w:bCs/>
                <w:sz w:val="20"/>
                <w:szCs w:val="20"/>
              </w:rPr>
            </w:pPr>
            <w:r>
              <w:rPr>
                <w:rFonts w:ascii="Arial" w:hAnsi="Arial" w:cs="Arial"/>
                <w:b/>
                <w:bCs/>
                <w:sz w:val="20"/>
                <w:szCs w:val="20"/>
              </w:rPr>
              <w:t>Développement des audiences et éducation au film européen</w:t>
            </w:r>
          </w:p>
          <w:p w14:paraId="1ACE3AA0" w14:textId="77777777" w:rsidR="004A22BD" w:rsidRPr="002E39B5" w:rsidRDefault="004A22BD" w:rsidP="006B51BC">
            <w:pPr>
              <w:rPr>
                <w:rFonts w:ascii="Arial" w:hAnsi="Arial" w:cs="Arial"/>
                <w:b/>
                <w:bCs/>
                <w:sz w:val="20"/>
                <w:szCs w:val="20"/>
              </w:rPr>
            </w:pPr>
          </w:p>
          <w:p w14:paraId="74ABBA94" w14:textId="77777777" w:rsidR="004A22BD" w:rsidRPr="002E39B5" w:rsidRDefault="004A22BD" w:rsidP="006B51BC">
            <w:pPr>
              <w:rPr>
                <w:rFonts w:ascii="Arial" w:hAnsi="Arial" w:cs="Arial"/>
                <w:b/>
                <w:bCs/>
                <w:sz w:val="20"/>
                <w:szCs w:val="20"/>
              </w:rPr>
            </w:pPr>
            <w:r w:rsidRPr="002E39B5">
              <w:rPr>
                <w:rFonts w:ascii="Arial" w:hAnsi="Arial" w:cs="Arial"/>
                <w:b/>
                <w:bCs/>
                <w:sz w:val="20"/>
                <w:szCs w:val="20"/>
              </w:rPr>
              <w:t>Références légales : Règlement financier 2018/1046 et règlement de base de Creative Europe 2021/818</w:t>
            </w:r>
          </w:p>
          <w:p w14:paraId="7B21B147" w14:textId="77777777" w:rsidR="004A22BD" w:rsidRPr="002E39B5" w:rsidRDefault="004A22BD" w:rsidP="006B51BC">
            <w:pPr>
              <w:rPr>
                <w:rFonts w:ascii="Arial" w:hAnsi="Arial" w:cs="Arial"/>
                <w:b/>
                <w:bCs/>
                <w:sz w:val="20"/>
                <w:szCs w:val="20"/>
              </w:rPr>
            </w:pPr>
          </w:p>
          <w:p w14:paraId="569AF830" w14:textId="0EAE0948" w:rsidR="004A22BD" w:rsidRPr="002E39B5" w:rsidRDefault="004A22BD" w:rsidP="006B51BC">
            <w:pPr>
              <w:rPr>
                <w:rFonts w:ascii="Arial" w:hAnsi="Arial" w:cs="Arial"/>
                <w:b/>
                <w:bCs/>
                <w:color w:val="00B0F0"/>
                <w:sz w:val="20"/>
                <w:szCs w:val="20"/>
              </w:rPr>
            </w:pPr>
            <w:r w:rsidRPr="002E39B5">
              <w:rPr>
                <w:rFonts w:ascii="Arial" w:hAnsi="Arial" w:cs="Arial"/>
                <w:b/>
                <w:bCs/>
                <w:color w:val="00B0F0"/>
                <w:sz w:val="20"/>
                <w:szCs w:val="20"/>
              </w:rPr>
              <w:t xml:space="preserve">Mots-clés : </w:t>
            </w:r>
            <w:r>
              <w:rPr>
                <w:rFonts w:ascii="Arial" w:hAnsi="Arial" w:cs="Arial"/>
                <w:b/>
                <w:bCs/>
                <w:color w:val="00B0F0"/>
                <w:sz w:val="20"/>
                <w:szCs w:val="20"/>
              </w:rPr>
              <w:t>audiovisuel – films – patrimoine culturel - éducation</w:t>
            </w:r>
          </w:p>
          <w:p w14:paraId="12302BF9" w14:textId="77777777" w:rsidR="004A22BD" w:rsidRPr="002E39B5" w:rsidRDefault="004A22BD" w:rsidP="006B51BC">
            <w:pPr>
              <w:rPr>
                <w:rFonts w:ascii="Arial" w:hAnsi="Arial" w:cs="Arial"/>
                <w:b/>
                <w:bCs/>
                <w:sz w:val="20"/>
                <w:szCs w:val="20"/>
              </w:rPr>
            </w:pPr>
          </w:p>
        </w:tc>
      </w:tr>
      <w:tr w:rsidR="004A22BD" w:rsidRPr="00120C4D" w14:paraId="0D144378" w14:textId="77777777" w:rsidTr="006B51BC">
        <w:tc>
          <w:tcPr>
            <w:tcW w:w="2518" w:type="dxa"/>
          </w:tcPr>
          <w:p w14:paraId="548CA5F0" w14:textId="77777777" w:rsidR="004A22BD" w:rsidRPr="00120C4D" w:rsidRDefault="004A22BD" w:rsidP="006B51BC">
            <w:pPr>
              <w:jc w:val="both"/>
              <w:rPr>
                <w:rFonts w:ascii="Arial" w:hAnsi="Arial" w:cs="Arial"/>
              </w:rPr>
            </w:pPr>
            <w:r w:rsidRPr="00120C4D">
              <w:rPr>
                <w:rFonts w:ascii="Arial" w:hAnsi="Arial" w:cs="Arial"/>
              </w:rPr>
              <w:t>Titre</w:t>
            </w:r>
          </w:p>
        </w:tc>
        <w:tc>
          <w:tcPr>
            <w:tcW w:w="6694" w:type="dxa"/>
          </w:tcPr>
          <w:p w14:paraId="32C6BB82" w14:textId="6E5A55E9" w:rsidR="004A22BD" w:rsidRPr="00120C4D" w:rsidRDefault="004A22BD" w:rsidP="006B51BC">
            <w:pPr>
              <w:jc w:val="both"/>
              <w:rPr>
                <w:rFonts w:ascii="Arial" w:hAnsi="Arial" w:cs="Arial"/>
                <w:sz w:val="20"/>
                <w:szCs w:val="20"/>
              </w:rPr>
            </w:pPr>
            <w:r>
              <w:rPr>
                <w:rFonts w:ascii="Arial" w:hAnsi="Arial" w:cs="Arial"/>
                <w:sz w:val="20"/>
                <w:szCs w:val="20"/>
              </w:rPr>
              <w:t>Développemen</w:t>
            </w:r>
            <w:r>
              <w:rPr>
                <w:rFonts w:ascii="Arial" w:hAnsi="Arial" w:cs="Arial"/>
                <w:sz w:val="20"/>
                <w:szCs w:val="20"/>
              </w:rPr>
              <w:t>t des audiences et éducation au film</w:t>
            </w:r>
          </w:p>
        </w:tc>
      </w:tr>
      <w:tr w:rsidR="004A22BD" w:rsidRPr="00120C4D" w14:paraId="33D2FB35" w14:textId="77777777" w:rsidTr="006B51BC">
        <w:tc>
          <w:tcPr>
            <w:tcW w:w="2518" w:type="dxa"/>
          </w:tcPr>
          <w:p w14:paraId="5D6D12E1" w14:textId="77777777" w:rsidR="004A22BD" w:rsidRPr="00120C4D" w:rsidRDefault="004A22BD" w:rsidP="006B51BC">
            <w:pPr>
              <w:jc w:val="both"/>
              <w:rPr>
                <w:rFonts w:ascii="Arial" w:hAnsi="Arial" w:cs="Arial"/>
              </w:rPr>
            </w:pPr>
            <w:r w:rsidRPr="00120C4D">
              <w:rPr>
                <w:rFonts w:ascii="Arial" w:hAnsi="Arial" w:cs="Arial"/>
              </w:rPr>
              <w:t>Objet</w:t>
            </w:r>
          </w:p>
        </w:tc>
        <w:tc>
          <w:tcPr>
            <w:tcW w:w="6694" w:type="dxa"/>
          </w:tcPr>
          <w:p w14:paraId="3C7A3C19" w14:textId="0ACEF4AF" w:rsidR="004A22BD" w:rsidRDefault="004A22BD" w:rsidP="006B51BC">
            <w:pPr>
              <w:jc w:val="both"/>
              <w:rPr>
                <w:rFonts w:ascii="Arial" w:hAnsi="Arial" w:cs="Arial"/>
                <w:sz w:val="20"/>
                <w:szCs w:val="20"/>
              </w:rPr>
            </w:pPr>
            <w:r>
              <w:rPr>
                <w:rFonts w:ascii="Arial" w:hAnsi="Arial" w:cs="Arial"/>
                <w:sz w:val="20"/>
                <w:szCs w:val="20"/>
              </w:rPr>
              <w:t xml:space="preserve">L’appel, porté par l’agence EACEA, vise à </w:t>
            </w:r>
            <w:r>
              <w:rPr>
                <w:rFonts w:ascii="Arial" w:hAnsi="Arial" w:cs="Arial"/>
                <w:sz w:val="20"/>
                <w:szCs w:val="20"/>
              </w:rPr>
              <w:t>stimuler l’intérêt et la connaissance de la filmographie européenne, y compris pour des films spécifiques liés au patrimoine européen ; à renforcer la coopération, à travers toute l’Europe, pour développer l’audience avec des méthodes innovantes basées, notamment sur des outils numériques et développer une éducation au film européen et non-européen.</w:t>
            </w:r>
          </w:p>
          <w:p w14:paraId="38605650" w14:textId="77777777" w:rsidR="004A22BD" w:rsidRDefault="004A22BD" w:rsidP="006B51BC">
            <w:pPr>
              <w:jc w:val="both"/>
              <w:rPr>
                <w:rFonts w:ascii="Arial" w:hAnsi="Arial" w:cs="Arial"/>
                <w:sz w:val="20"/>
                <w:szCs w:val="20"/>
              </w:rPr>
            </w:pPr>
          </w:p>
          <w:p w14:paraId="62DBFC9F" w14:textId="61931854" w:rsidR="004A22BD" w:rsidRDefault="004A22BD" w:rsidP="006B51BC">
            <w:pPr>
              <w:jc w:val="both"/>
              <w:rPr>
                <w:rFonts w:ascii="Arial" w:hAnsi="Arial" w:cs="Arial"/>
                <w:sz w:val="20"/>
                <w:szCs w:val="20"/>
              </w:rPr>
            </w:pPr>
            <w:r>
              <w:rPr>
                <w:rFonts w:ascii="Arial" w:hAnsi="Arial" w:cs="Arial"/>
                <w:sz w:val="20"/>
                <w:szCs w:val="20"/>
              </w:rPr>
              <w:t>Les activités financées sont</w:t>
            </w:r>
            <w:r>
              <w:rPr>
                <w:rFonts w:ascii="Arial" w:hAnsi="Arial" w:cs="Arial"/>
                <w:sz w:val="20"/>
                <w:szCs w:val="20"/>
              </w:rPr>
              <w:t xml:space="preserve"> : </w:t>
            </w:r>
          </w:p>
          <w:p w14:paraId="2C775D7E" w14:textId="77777777" w:rsidR="004A22BD" w:rsidRDefault="004A22BD" w:rsidP="006B51BC">
            <w:pPr>
              <w:jc w:val="both"/>
              <w:rPr>
                <w:rFonts w:ascii="Arial" w:hAnsi="Arial" w:cs="Arial"/>
                <w:sz w:val="20"/>
                <w:szCs w:val="20"/>
              </w:rPr>
            </w:pPr>
          </w:p>
          <w:p w14:paraId="3739BCBC" w14:textId="3671B805" w:rsidR="004A22BD" w:rsidRDefault="004A22BD" w:rsidP="006B51BC">
            <w:pPr>
              <w:pStyle w:val="Paragraphedeliste"/>
              <w:numPr>
                <w:ilvl w:val="0"/>
                <w:numId w:val="3"/>
              </w:numPr>
              <w:jc w:val="both"/>
              <w:rPr>
                <w:rFonts w:ascii="Arial" w:hAnsi="Arial" w:cs="Arial"/>
                <w:sz w:val="20"/>
                <w:szCs w:val="20"/>
              </w:rPr>
            </w:pPr>
            <w:r>
              <w:rPr>
                <w:rFonts w:ascii="Arial" w:hAnsi="Arial" w:cs="Arial"/>
                <w:sz w:val="20"/>
                <w:szCs w:val="20"/>
              </w:rPr>
              <w:t>Des projets éducatifs basés sur des outils numériques ;</w:t>
            </w:r>
          </w:p>
          <w:p w14:paraId="6EE2B7BA" w14:textId="37EE326F" w:rsidR="004A22BD" w:rsidRDefault="004A22BD" w:rsidP="006B51BC">
            <w:pPr>
              <w:pStyle w:val="Paragraphedeliste"/>
              <w:numPr>
                <w:ilvl w:val="0"/>
                <w:numId w:val="3"/>
              </w:numPr>
              <w:jc w:val="both"/>
              <w:rPr>
                <w:rFonts w:ascii="Arial" w:hAnsi="Arial" w:cs="Arial"/>
                <w:sz w:val="20"/>
                <w:szCs w:val="20"/>
              </w:rPr>
            </w:pPr>
            <w:r>
              <w:rPr>
                <w:rFonts w:ascii="Arial" w:hAnsi="Arial" w:cs="Arial"/>
                <w:sz w:val="20"/>
                <w:szCs w:val="20"/>
              </w:rPr>
              <w:t>Qui comprendront l’organisation d’évènements à destination, en particulier, du jeune public</w:t>
            </w:r>
            <w:r w:rsidR="00FF151E">
              <w:rPr>
                <w:rFonts w:ascii="Arial" w:hAnsi="Arial" w:cs="Arial"/>
                <w:sz w:val="20"/>
                <w:szCs w:val="20"/>
              </w:rPr>
              <w:t>.</w:t>
            </w:r>
          </w:p>
          <w:p w14:paraId="2C83CB50" w14:textId="77777777" w:rsidR="004A22BD" w:rsidRPr="00FF151E" w:rsidRDefault="004A22BD" w:rsidP="00FF151E">
            <w:pPr>
              <w:ind w:left="360"/>
              <w:jc w:val="both"/>
              <w:rPr>
                <w:rFonts w:ascii="Arial" w:hAnsi="Arial" w:cs="Arial"/>
                <w:sz w:val="20"/>
                <w:szCs w:val="20"/>
              </w:rPr>
            </w:pPr>
          </w:p>
          <w:p w14:paraId="3D0A452C" w14:textId="77777777" w:rsidR="004A22BD" w:rsidRDefault="004A22BD" w:rsidP="006B51BC">
            <w:pPr>
              <w:jc w:val="both"/>
              <w:rPr>
                <w:rFonts w:ascii="Arial" w:hAnsi="Arial" w:cs="Arial"/>
                <w:sz w:val="20"/>
                <w:szCs w:val="20"/>
              </w:rPr>
            </w:pPr>
          </w:p>
          <w:p w14:paraId="4E0C90C2" w14:textId="77777777" w:rsidR="004A22BD" w:rsidRPr="00517D5D" w:rsidRDefault="004A22BD" w:rsidP="006B51BC">
            <w:pPr>
              <w:jc w:val="both"/>
              <w:rPr>
                <w:rFonts w:ascii="Arial" w:hAnsi="Arial" w:cs="Arial"/>
                <w:sz w:val="20"/>
                <w:szCs w:val="20"/>
              </w:rPr>
            </w:pPr>
            <w:r>
              <w:rPr>
                <w:rFonts w:ascii="Arial" w:hAnsi="Arial" w:cs="Arial"/>
                <w:sz w:val="20"/>
                <w:szCs w:val="20"/>
              </w:rPr>
              <w:t>Le point de contact en Wallonie et Fédération Wallonie-Bruxelles est le Desk Creative Europe.</w:t>
            </w:r>
            <w:r w:rsidRPr="00517D5D">
              <w:rPr>
                <w:rFonts w:ascii="Arial" w:hAnsi="Arial" w:cs="Arial"/>
                <w:sz w:val="20"/>
                <w:szCs w:val="20"/>
              </w:rPr>
              <w:t xml:space="preserve"> </w:t>
            </w:r>
          </w:p>
          <w:p w14:paraId="531A5245" w14:textId="77777777" w:rsidR="004A22BD" w:rsidRPr="00120C4D" w:rsidRDefault="004A22BD" w:rsidP="006B51BC">
            <w:pPr>
              <w:jc w:val="both"/>
              <w:rPr>
                <w:rFonts w:ascii="Arial" w:hAnsi="Arial" w:cs="Arial"/>
                <w:sz w:val="20"/>
                <w:szCs w:val="20"/>
              </w:rPr>
            </w:pPr>
          </w:p>
        </w:tc>
      </w:tr>
      <w:tr w:rsidR="004A22BD" w:rsidRPr="00120C4D" w14:paraId="67BAA2F1" w14:textId="77777777" w:rsidTr="006B51BC">
        <w:tc>
          <w:tcPr>
            <w:tcW w:w="2518" w:type="dxa"/>
          </w:tcPr>
          <w:p w14:paraId="3FFBE770" w14:textId="77777777" w:rsidR="004A22BD" w:rsidRPr="00120C4D" w:rsidRDefault="004A22BD" w:rsidP="006B51BC">
            <w:pPr>
              <w:jc w:val="both"/>
              <w:rPr>
                <w:rFonts w:ascii="Arial" w:hAnsi="Arial" w:cs="Arial"/>
              </w:rPr>
            </w:pPr>
            <w:r w:rsidRPr="00120C4D">
              <w:rPr>
                <w:rFonts w:ascii="Arial" w:hAnsi="Arial" w:cs="Arial"/>
              </w:rPr>
              <w:t>Publics cibles</w:t>
            </w:r>
          </w:p>
        </w:tc>
        <w:tc>
          <w:tcPr>
            <w:tcW w:w="6694" w:type="dxa"/>
          </w:tcPr>
          <w:p w14:paraId="3DEA7C98" w14:textId="754DA438" w:rsidR="004A22BD" w:rsidRPr="00AE3DC0" w:rsidRDefault="004A22BD" w:rsidP="006B51BC">
            <w:pPr>
              <w:jc w:val="both"/>
              <w:rPr>
                <w:rFonts w:ascii="Arial" w:hAnsi="Arial" w:cs="Arial"/>
                <w:sz w:val="20"/>
                <w:szCs w:val="20"/>
              </w:rPr>
            </w:pPr>
            <w:r>
              <w:rPr>
                <w:rFonts w:ascii="Arial" w:hAnsi="Arial" w:cs="Arial"/>
                <w:sz w:val="20"/>
                <w:szCs w:val="20"/>
              </w:rPr>
              <w:t xml:space="preserve">Entreprises de l’audiovisuel </w:t>
            </w:r>
            <w:r w:rsidR="00FF151E">
              <w:rPr>
                <w:rFonts w:ascii="Arial" w:hAnsi="Arial" w:cs="Arial"/>
                <w:sz w:val="20"/>
                <w:szCs w:val="20"/>
              </w:rPr>
              <w:t>et organisations spécialisées en audiovisuel</w:t>
            </w:r>
          </w:p>
        </w:tc>
      </w:tr>
      <w:tr w:rsidR="004A22BD" w:rsidRPr="00120C4D" w14:paraId="7DF0CDDE" w14:textId="77777777" w:rsidTr="006B51BC">
        <w:tc>
          <w:tcPr>
            <w:tcW w:w="2518" w:type="dxa"/>
          </w:tcPr>
          <w:p w14:paraId="7E09DB94" w14:textId="77777777" w:rsidR="004A22BD" w:rsidRPr="00120C4D" w:rsidRDefault="004A22BD" w:rsidP="006B51BC">
            <w:pPr>
              <w:jc w:val="both"/>
              <w:rPr>
                <w:rFonts w:ascii="Arial" w:hAnsi="Arial" w:cs="Arial"/>
              </w:rPr>
            </w:pPr>
            <w:r w:rsidRPr="00120C4D">
              <w:rPr>
                <w:rFonts w:ascii="Arial" w:hAnsi="Arial" w:cs="Arial"/>
              </w:rPr>
              <w:t xml:space="preserve">Ouverture </w:t>
            </w:r>
          </w:p>
        </w:tc>
        <w:tc>
          <w:tcPr>
            <w:tcW w:w="6694" w:type="dxa"/>
          </w:tcPr>
          <w:p w14:paraId="5B39A969" w14:textId="77777777" w:rsidR="004A22BD" w:rsidRDefault="004A22BD" w:rsidP="006B51BC">
            <w:pPr>
              <w:jc w:val="both"/>
              <w:rPr>
                <w:rFonts w:ascii="Arial" w:hAnsi="Arial" w:cs="Arial"/>
                <w:sz w:val="20"/>
                <w:szCs w:val="20"/>
              </w:rPr>
            </w:pPr>
            <w:r>
              <w:rPr>
                <w:rFonts w:ascii="Arial" w:hAnsi="Arial" w:cs="Arial"/>
                <w:sz w:val="20"/>
                <w:szCs w:val="20"/>
              </w:rPr>
              <w:t>1</w:t>
            </w:r>
            <w:r w:rsidRPr="00517D5D">
              <w:rPr>
                <w:rFonts w:ascii="Arial" w:hAnsi="Arial" w:cs="Arial"/>
                <w:sz w:val="20"/>
                <w:szCs w:val="20"/>
                <w:vertAlign w:val="superscript"/>
              </w:rPr>
              <w:t>er</w:t>
            </w:r>
            <w:r>
              <w:rPr>
                <w:rFonts w:ascii="Arial" w:hAnsi="Arial" w:cs="Arial"/>
                <w:sz w:val="20"/>
                <w:szCs w:val="20"/>
              </w:rPr>
              <w:t xml:space="preserve"> octobre 2024</w:t>
            </w:r>
          </w:p>
          <w:p w14:paraId="4E2509AB" w14:textId="77777777" w:rsidR="004A22BD" w:rsidRPr="00120C4D" w:rsidRDefault="004A22BD" w:rsidP="006B51BC">
            <w:pPr>
              <w:jc w:val="both"/>
              <w:rPr>
                <w:rFonts w:ascii="Arial" w:hAnsi="Arial" w:cs="Arial"/>
                <w:sz w:val="20"/>
                <w:szCs w:val="20"/>
              </w:rPr>
            </w:pPr>
          </w:p>
        </w:tc>
      </w:tr>
      <w:tr w:rsidR="004A22BD" w:rsidRPr="00120C4D" w14:paraId="4DC303DB" w14:textId="77777777" w:rsidTr="006B51BC">
        <w:tc>
          <w:tcPr>
            <w:tcW w:w="2518" w:type="dxa"/>
          </w:tcPr>
          <w:p w14:paraId="1A16BB4E" w14:textId="77777777" w:rsidR="004A22BD" w:rsidRPr="00120C4D" w:rsidRDefault="004A22BD" w:rsidP="006B51BC">
            <w:pPr>
              <w:jc w:val="both"/>
              <w:rPr>
                <w:rFonts w:ascii="Arial" w:hAnsi="Arial" w:cs="Arial"/>
              </w:rPr>
            </w:pPr>
            <w:r w:rsidRPr="00120C4D">
              <w:rPr>
                <w:rFonts w:ascii="Arial" w:hAnsi="Arial" w:cs="Arial"/>
              </w:rPr>
              <w:t xml:space="preserve">Fermeture </w:t>
            </w:r>
          </w:p>
        </w:tc>
        <w:tc>
          <w:tcPr>
            <w:tcW w:w="6694" w:type="dxa"/>
          </w:tcPr>
          <w:p w14:paraId="751C6A56" w14:textId="5FAB7303" w:rsidR="004A22BD" w:rsidRDefault="004A22BD" w:rsidP="006B51BC">
            <w:pPr>
              <w:jc w:val="both"/>
              <w:rPr>
                <w:rFonts w:ascii="Arial" w:hAnsi="Arial" w:cs="Arial"/>
                <w:sz w:val="20"/>
                <w:szCs w:val="20"/>
              </w:rPr>
            </w:pPr>
            <w:r>
              <w:rPr>
                <w:rFonts w:ascii="Arial" w:hAnsi="Arial" w:cs="Arial"/>
                <w:sz w:val="20"/>
                <w:szCs w:val="20"/>
              </w:rPr>
              <w:t>2</w:t>
            </w:r>
            <w:r w:rsidR="00FF151E">
              <w:rPr>
                <w:rFonts w:ascii="Arial" w:hAnsi="Arial" w:cs="Arial"/>
                <w:sz w:val="20"/>
                <w:szCs w:val="20"/>
              </w:rPr>
              <w:t xml:space="preserve">7 mars </w:t>
            </w:r>
            <w:r>
              <w:rPr>
                <w:rFonts w:ascii="Arial" w:hAnsi="Arial" w:cs="Arial"/>
                <w:sz w:val="20"/>
                <w:szCs w:val="20"/>
              </w:rPr>
              <w:t>2025</w:t>
            </w:r>
          </w:p>
          <w:p w14:paraId="5E285EA0" w14:textId="77777777" w:rsidR="004A22BD" w:rsidRPr="00120C4D" w:rsidRDefault="004A22BD" w:rsidP="006B51BC">
            <w:pPr>
              <w:jc w:val="both"/>
              <w:rPr>
                <w:rFonts w:ascii="Arial" w:hAnsi="Arial" w:cs="Arial"/>
                <w:sz w:val="20"/>
                <w:szCs w:val="20"/>
              </w:rPr>
            </w:pPr>
          </w:p>
        </w:tc>
      </w:tr>
      <w:tr w:rsidR="004A22BD" w:rsidRPr="00780DD0" w14:paraId="7C0B4265" w14:textId="77777777" w:rsidTr="006B51BC">
        <w:trPr>
          <w:trHeight w:val="356"/>
        </w:trPr>
        <w:tc>
          <w:tcPr>
            <w:tcW w:w="2518" w:type="dxa"/>
          </w:tcPr>
          <w:p w14:paraId="4D77B955" w14:textId="77777777" w:rsidR="004A22BD" w:rsidRPr="00120C4D" w:rsidRDefault="004A22BD" w:rsidP="006B51BC">
            <w:pPr>
              <w:jc w:val="both"/>
              <w:rPr>
                <w:rFonts w:ascii="Arial" w:hAnsi="Arial" w:cs="Arial"/>
              </w:rPr>
            </w:pPr>
            <w:r w:rsidRPr="00120C4D">
              <w:rPr>
                <w:rFonts w:ascii="Arial" w:hAnsi="Arial" w:cs="Arial"/>
              </w:rPr>
              <w:t>Délivrables</w:t>
            </w:r>
          </w:p>
        </w:tc>
        <w:tc>
          <w:tcPr>
            <w:tcW w:w="6694" w:type="dxa"/>
          </w:tcPr>
          <w:p w14:paraId="7B90C398" w14:textId="77777777" w:rsidR="004A22BD" w:rsidRDefault="00FF151E" w:rsidP="006B51BC">
            <w:pPr>
              <w:pStyle w:val="Paragraphedeliste"/>
              <w:numPr>
                <w:ilvl w:val="0"/>
                <w:numId w:val="1"/>
              </w:numPr>
              <w:jc w:val="both"/>
              <w:rPr>
                <w:rFonts w:ascii="Arial" w:hAnsi="Arial" w:cs="Arial"/>
                <w:sz w:val="20"/>
                <w:szCs w:val="20"/>
              </w:rPr>
            </w:pPr>
            <w:r>
              <w:rPr>
                <w:rFonts w:ascii="Arial" w:hAnsi="Arial" w:cs="Arial"/>
                <w:sz w:val="20"/>
                <w:szCs w:val="20"/>
              </w:rPr>
              <w:t>Initiatives transfrontalières en matière d’éducation et de sensibilisation à la production audiovisuelle</w:t>
            </w:r>
            <w:r w:rsidR="004A22BD">
              <w:rPr>
                <w:rFonts w:ascii="Arial" w:hAnsi="Arial" w:cs="Arial"/>
                <w:sz w:val="20"/>
                <w:szCs w:val="20"/>
              </w:rPr>
              <w:t>.</w:t>
            </w:r>
          </w:p>
          <w:p w14:paraId="5C9F543A" w14:textId="77777777" w:rsidR="00EC0469" w:rsidRDefault="00EC0469" w:rsidP="006B51BC">
            <w:pPr>
              <w:pStyle w:val="Paragraphedeliste"/>
              <w:numPr>
                <w:ilvl w:val="0"/>
                <w:numId w:val="1"/>
              </w:numPr>
              <w:jc w:val="both"/>
              <w:rPr>
                <w:rFonts w:ascii="Arial" w:hAnsi="Arial" w:cs="Arial"/>
                <w:sz w:val="20"/>
                <w:szCs w:val="20"/>
              </w:rPr>
            </w:pPr>
            <w:r>
              <w:rPr>
                <w:rFonts w:ascii="Arial" w:hAnsi="Arial" w:cs="Arial"/>
                <w:sz w:val="20"/>
                <w:szCs w:val="20"/>
              </w:rPr>
              <w:t>Activités de coopération y compris à travers des plateformes en ligne.</w:t>
            </w:r>
          </w:p>
          <w:p w14:paraId="7EF77448" w14:textId="77777777" w:rsidR="00EC0469" w:rsidRDefault="00EC0469" w:rsidP="00EC0469">
            <w:pPr>
              <w:pStyle w:val="Paragraphedeliste"/>
              <w:jc w:val="both"/>
              <w:rPr>
                <w:rFonts w:ascii="Arial" w:hAnsi="Arial" w:cs="Arial"/>
                <w:sz w:val="20"/>
                <w:szCs w:val="20"/>
              </w:rPr>
            </w:pPr>
          </w:p>
          <w:p w14:paraId="5C63CF0E" w14:textId="26BD9562" w:rsidR="00EC0469" w:rsidRPr="00EC0469" w:rsidRDefault="00EC0469" w:rsidP="00EC0469">
            <w:pPr>
              <w:jc w:val="both"/>
              <w:rPr>
                <w:rFonts w:ascii="Arial" w:hAnsi="Arial" w:cs="Arial"/>
                <w:sz w:val="20"/>
                <w:szCs w:val="20"/>
              </w:rPr>
            </w:pPr>
            <w:r>
              <w:rPr>
                <w:rFonts w:ascii="Arial" w:hAnsi="Arial" w:cs="Arial"/>
                <w:sz w:val="20"/>
                <w:szCs w:val="20"/>
              </w:rPr>
              <w:t xml:space="preserve">Les projets soumis doivent se dérouler sur une période de 24 à 36 mois.  </w:t>
            </w:r>
          </w:p>
        </w:tc>
      </w:tr>
      <w:tr w:rsidR="004A22BD" w:rsidRPr="00120C4D" w14:paraId="27EA35D3" w14:textId="77777777" w:rsidTr="006B51BC">
        <w:tc>
          <w:tcPr>
            <w:tcW w:w="2518" w:type="dxa"/>
          </w:tcPr>
          <w:p w14:paraId="56FF15A0" w14:textId="77777777" w:rsidR="004A22BD" w:rsidRPr="00120C4D" w:rsidRDefault="004A22BD" w:rsidP="006B51BC">
            <w:pPr>
              <w:jc w:val="both"/>
              <w:rPr>
                <w:rFonts w:ascii="Arial" w:hAnsi="Arial" w:cs="Arial"/>
              </w:rPr>
            </w:pPr>
            <w:r w:rsidRPr="00120C4D">
              <w:rPr>
                <w:rFonts w:ascii="Arial" w:hAnsi="Arial" w:cs="Arial"/>
              </w:rPr>
              <w:t>Eligibles</w:t>
            </w:r>
          </w:p>
        </w:tc>
        <w:tc>
          <w:tcPr>
            <w:tcW w:w="6694" w:type="dxa"/>
          </w:tcPr>
          <w:p w14:paraId="12ED7B90" w14:textId="77777777" w:rsidR="004A22BD" w:rsidRDefault="004A22BD" w:rsidP="006B51BC">
            <w:pPr>
              <w:jc w:val="both"/>
              <w:rPr>
                <w:rFonts w:ascii="Arial" w:hAnsi="Arial" w:cs="Arial"/>
                <w:sz w:val="20"/>
                <w:szCs w:val="20"/>
              </w:rPr>
            </w:pPr>
            <w:r>
              <w:rPr>
                <w:rFonts w:ascii="Arial" w:hAnsi="Arial" w:cs="Arial"/>
                <w:sz w:val="20"/>
                <w:szCs w:val="20"/>
              </w:rPr>
              <w:t>Sont éligibles : des entités légales publiques ou privées établies dans un Etat membre ou un Etat associé, inscrites au registre des participants. Les personnes individuelles ne sont pas admises. Les organisations européennes ne peuvent pas faire partie du consortium, à l’exception du Centre commun de Recherche. Sont également admises les organisations sectorielles.</w:t>
            </w:r>
          </w:p>
          <w:p w14:paraId="3BA9EE06" w14:textId="77777777" w:rsidR="004A22BD" w:rsidRDefault="004A22BD" w:rsidP="006B51BC">
            <w:pPr>
              <w:jc w:val="both"/>
              <w:rPr>
                <w:rFonts w:ascii="Arial" w:hAnsi="Arial" w:cs="Arial"/>
                <w:sz w:val="20"/>
                <w:szCs w:val="20"/>
              </w:rPr>
            </w:pPr>
          </w:p>
          <w:p w14:paraId="47BF474E" w14:textId="69B3F0CD" w:rsidR="00EC0469" w:rsidRDefault="004A22BD" w:rsidP="006B51BC">
            <w:pPr>
              <w:jc w:val="both"/>
              <w:rPr>
                <w:rFonts w:ascii="Arial" w:hAnsi="Arial" w:cs="Arial"/>
                <w:sz w:val="20"/>
                <w:szCs w:val="20"/>
              </w:rPr>
            </w:pPr>
            <w:r>
              <w:rPr>
                <w:rFonts w:ascii="Arial" w:hAnsi="Arial" w:cs="Arial"/>
                <w:sz w:val="20"/>
                <w:szCs w:val="20"/>
              </w:rPr>
              <w:t>Les candidatures peuvent émaner d’une seule entité ou d’un consortium. Dans ce dernier cas, le Desk Creative Europe peut être le coordinateur du projet.</w:t>
            </w:r>
          </w:p>
          <w:p w14:paraId="56020E44" w14:textId="77777777" w:rsidR="004A22BD" w:rsidRPr="00696ECF" w:rsidRDefault="004A22BD" w:rsidP="006B51BC">
            <w:pPr>
              <w:jc w:val="both"/>
              <w:rPr>
                <w:rFonts w:ascii="Arial" w:hAnsi="Arial" w:cs="Arial"/>
                <w:sz w:val="20"/>
                <w:szCs w:val="20"/>
              </w:rPr>
            </w:pPr>
          </w:p>
        </w:tc>
      </w:tr>
      <w:tr w:rsidR="004A22BD" w:rsidRPr="00120C4D" w14:paraId="6E7BB92B" w14:textId="77777777" w:rsidTr="006B51BC">
        <w:tc>
          <w:tcPr>
            <w:tcW w:w="2518" w:type="dxa"/>
          </w:tcPr>
          <w:p w14:paraId="5F1FACE7" w14:textId="77777777" w:rsidR="004A22BD" w:rsidRPr="00120C4D" w:rsidRDefault="004A22BD" w:rsidP="006B51BC">
            <w:pPr>
              <w:jc w:val="both"/>
              <w:rPr>
                <w:rFonts w:ascii="Arial" w:hAnsi="Arial" w:cs="Arial"/>
              </w:rPr>
            </w:pPr>
            <w:r w:rsidRPr="00120C4D">
              <w:rPr>
                <w:rFonts w:ascii="Arial" w:hAnsi="Arial" w:cs="Arial"/>
              </w:rPr>
              <w:t>Conditions spécifiques</w:t>
            </w:r>
          </w:p>
        </w:tc>
        <w:tc>
          <w:tcPr>
            <w:tcW w:w="6694" w:type="dxa"/>
          </w:tcPr>
          <w:p w14:paraId="5D38FE2C" w14:textId="77777777" w:rsidR="004A22BD" w:rsidRPr="00696ECF" w:rsidRDefault="004A22BD" w:rsidP="006B51BC">
            <w:pPr>
              <w:jc w:val="both"/>
              <w:rPr>
                <w:rFonts w:ascii="Arial" w:hAnsi="Arial" w:cs="Arial"/>
                <w:sz w:val="20"/>
                <w:szCs w:val="20"/>
              </w:rPr>
            </w:pPr>
            <w:r>
              <w:rPr>
                <w:rFonts w:ascii="Arial" w:hAnsi="Arial" w:cs="Arial"/>
                <w:sz w:val="20"/>
                <w:szCs w:val="20"/>
              </w:rPr>
              <w:t xml:space="preserve">Les propositions doivent être soumises électroniquement. La partie B doit décrire techniquement le dossier. Les annexes doivent reprendre un budget détaillé. La proposition ne peut pas dépasser 70 pages. </w:t>
            </w:r>
          </w:p>
        </w:tc>
      </w:tr>
      <w:tr w:rsidR="004A22BD" w:rsidRPr="00120C4D" w14:paraId="23E4C26A" w14:textId="77777777" w:rsidTr="006B51BC">
        <w:tc>
          <w:tcPr>
            <w:tcW w:w="2518" w:type="dxa"/>
          </w:tcPr>
          <w:p w14:paraId="1B7BA900" w14:textId="77777777" w:rsidR="004A22BD" w:rsidRPr="00120C4D" w:rsidRDefault="004A22BD" w:rsidP="006B51BC">
            <w:pPr>
              <w:jc w:val="both"/>
              <w:rPr>
                <w:rFonts w:ascii="Arial" w:hAnsi="Arial" w:cs="Arial"/>
              </w:rPr>
            </w:pPr>
            <w:r w:rsidRPr="00120C4D">
              <w:rPr>
                <w:rFonts w:ascii="Arial" w:hAnsi="Arial" w:cs="Arial"/>
              </w:rPr>
              <w:lastRenderedPageBreak/>
              <w:t>Critères d’évaluation</w:t>
            </w:r>
          </w:p>
        </w:tc>
        <w:tc>
          <w:tcPr>
            <w:tcW w:w="6694" w:type="dxa"/>
          </w:tcPr>
          <w:p w14:paraId="720F1A92" w14:textId="77777777" w:rsidR="004A22BD" w:rsidRDefault="004A22BD" w:rsidP="006B51BC">
            <w:pPr>
              <w:pStyle w:val="Paragraphedeliste"/>
              <w:numPr>
                <w:ilvl w:val="0"/>
                <w:numId w:val="2"/>
              </w:numPr>
              <w:jc w:val="both"/>
              <w:rPr>
                <w:rFonts w:ascii="Arial" w:hAnsi="Arial" w:cs="Arial"/>
                <w:sz w:val="20"/>
                <w:szCs w:val="20"/>
              </w:rPr>
            </w:pPr>
            <w:r>
              <w:rPr>
                <w:rFonts w:ascii="Arial" w:hAnsi="Arial" w:cs="Arial"/>
                <w:sz w:val="20"/>
                <w:szCs w:val="20"/>
              </w:rPr>
              <w:t>Relevance : cohérence avec les objectifs de l’appel, adéquation des stratégies, inclusion.</w:t>
            </w:r>
          </w:p>
          <w:p w14:paraId="487B4E5F" w14:textId="77777777" w:rsidR="004A22BD" w:rsidRDefault="004A22BD" w:rsidP="006B51BC">
            <w:pPr>
              <w:pStyle w:val="Paragraphedeliste"/>
              <w:numPr>
                <w:ilvl w:val="0"/>
                <w:numId w:val="2"/>
              </w:numPr>
              <w:jc w:val="both"/>
              <w:rPr>
                <w:rFonts w:ascii="Arial" w:hAnsi="Arial" w:cs="Arial"/>
                <w:sz w:val="20"/>
                <w:szCs w:val="20"/>
              </w:rPr>
            </w:pPr>
            <w:r>
              <w:rPr>
                <w:rFonts w:ascii="Arial" w:hAnsi="Arial" w:cs="Arial"/>
                <w:sz w:val="20"/>
                <w:szCs w:val="20"/>
              </w:rPr>
              <w:t>Qualité.</w:t>
            </w:r>
          </w:p>
          <w:p w14:paraId="3D7A6BC0" w14:textId="77777777" w:rsidR="004A22BD" w:rsidRDefault="004A22BD" w:rsidP="006B51BC">
            <w:pPr>
              <w:pStyle w:val="Paragraphedeliste"/>
              <w:numPr>
                <w:ilvl w:val="0"/>
                <w:numId w:val="2"/>
              </w:numPr>
              <w:jc w:val="both"/>
              <w:rPr>
                <w:rFonts w:ascii="Arial" w:hAnsi="Arial" w:cs="Arial"/>
                <w:sz w:val="20"/>
                <w:szCs w:val="20"/>
              </w:rPr>
            </w:pPr>
            <w:r>
              <w:rPr>
                <w:rFonts w:ascii="Arial" w:hAnsi="Arial" w:cs="Arial"/>
                <w:sz w:val="20"/>
                <w:szCs w:val="20"/>
              </w:rPr>
              <w:t>Gestion du projet</w:t>
            </w:r>
          </w:p>
          <w:p w14:paraId="1C848B67" w14:textId="77777777" w:rsidR="004A22BD" w:rsidRPr="0047733B" w:rsidRDefault="004A22BD" w:rsidP="006B51BC">
            <w:pPr>
              <w:pStyle w:val="Paragraphedeliste"/>
              <w:numPr>
                <w:ilvl w:val="0"/>
                <w:numId w:val="2"/>
              </w:numPr>
              <w:jc w:val="both"/>
              <w:rPr>
                <w:rFonts w:ascii="Arial" w:hAnsi="Arial" w:cs="Arial"/>
                <w:sz w:val="20"/>
                <w:szCs w:val="20"/>
              </w:rPr>
            </w:pPr>
            <w:r>
              <w:rPr>
                <w:rFonts w:ascii="Arial" w:hAnsi="Arial" w:cs="Arial"/>
                <w:sz w:val="20"/>
                <w:szCs w:val="20"/>
              </w:rPr>
              <w:t>Dissémination</w:t>
            </w:r>
          </w:p>
        </w:tc>
      </w:tr>
      <w:tr w:rsidR="004A22BD" w:rsidRPr="00120C4D" w14:paraId="2800B2B6" w14:textId="77777777" w:rsidTr="006B51BC">
        <w:tc>
          <w:tcPr>
            <w:tcW w:w="2518" w:type="dxa"/>
          </w:tcPr>
          <w:p w14:paraId="1A0327BD" w14:textId="77777777" w:rsidR="004A22BD" w:rsidRPr="00120C4D" w:rsidRDefault="004A22BD" w:rsidP="006B51BC">
            <w:pPr>
              <w:jc w:val="both"/>
              <w:rPr>
                <w:rFonts w:ascii="Arial" w:hAnsi="Arial" w:cs="Arial"/>
              </w:rPr>
            </w:pPr>
            <w:r w:rsidRPr="00120C4D">
              <w:rPr>
                <w:rFonts w:ascii="Arial" w:hAnsi="Arial" w:cs="Arial"/>
              </w:rPr>
              <w:t>Evaluation minimale</w:t>
            </w:r>
          </w:p>
        </w:tc>
        <w:tc>
          <w:tcPr>
            <w:tcW w:w="6694" w:type="dxa"/>
          </w:tcPr>
          <w:p w14:paraId="06183F3A" w14:textId="77777777" w:rsidR="004A22BD" w:rsidRDefault="004A22BD" w:rsidP="006B51BC">
            <w:pPr>
              <w:jc w:val="both"/>
              <w:rPr>
                <w:rFonts w:ascii="Arial" w:hAnsi="Arial" w:cs="Arial"/>
                <w:sz w:val="20"/>
                <w:szCs w:val="20"/>
              </w:rPr>
            </w:pPr>
            <w:r>
              <w:rPr>
                <w:rFonts w:ascii="Arial" w:hAnsi="Arial" w:cs="Arial"/>
                <w:sz w:val="20"/>
                <w:szCs w:val="20"/>
              </w:rPr>
              <w:t>Relevance : /35</w:t>
            </w:r>
          </w:p>
          <w:p w14:paraId="6B3E4512" w14:textId="77777777" w:rsidR="004A22BD" w:rsidRDefault="004A22BD" w:rsidP="006B51BC">
            <w:pPr>
              <w:jc w:val="both"/>
              <w:rPr>
                <w:rFonts w:ascii="Arial" w:hAnsi="Arial" w:cs="Arial"/>
                <w:sz w:val="20"/>
                <w:szCs w:val="20"/>
              </w:rPr>
            </w:pPr>
            <w:r>
              <w:rPr>
                <w:rFonts w:ascii="Arial" w:hAnsi="Arial" w:cs="Arial"/>
                <w:sz w:val="20"/>
                <w:szCs w:val="20"/>
              </w:rPr>
              <w:t>Qualité : /40</w:t>
            </w:r>
          </w:p>
          <w:p w14:paraId="4EECBBCC" w14:textId="77777777" w:rsidR="004A22BD" w:rsidRDefault="004A22BD" w:rsidP="006B51BC">
            <w:pPr>
              <w:jc w:val="both"/>
              <w:rPr>
                <w:rFonts w:ascii="Arial" w:hAnsi="Arial" w:cs="Arial"/>
                <w:sz w:val="20"/>
                <w:szCs w:val="20"/>
              </w:rPr>
            </w:pPr>
            <w:r>
              <w:rPr>
                <w:rFonts w:ascii="Arial" w:hAnsi="Arial" w:cs="Arial"/>
                <w:sz w:val="20"/>
                <w:szCs w:val="20"/>
              </w:rPr>
              <w:t>Impact : /10</w:t>
            </w:r>
          </w:p>
          <w:p w14:paraId="6AED6F7A" w14:textId="77777777" w:rsidR="004A22BD" w:rsidRDefault="004A22BD" w:rsidP="006B51BC">
            <w:pPr>
              <w:jc w:val="both"/>
              <w:rPr>
                <w:rFonts w:ascii="Arial" w:hAnsi="Arial" w:cs="Arial"/>
                <w:sz w:val="20"/>
                <w:szCs w:val="20"/>
              </w:rPr>
            </w:pPr>
            <w:r>
              <w:rPr>
                <w:rFonts w:ascii="Arial" w:hAnsi="Arial" w:cs="Arial"/>
                <w:sz w:val="20"/>
                <w:szCs w:val="20"/>
              </w:rPr>
              <w:t>Dissémination : /15</w:t>
            </w:r>
          </w:p>
          <w:p w14:paraId="31DA8A84" w14:textId="77777777" w:rsidR="004A22BD" w:rsidRPr="00AB2040" w:rsidRDefault="004A22BD" w:rsidP="006B51BC">
            <w:pPr>
              <w:jc w:val="both"/>
              <w:rPr>
                <w:rFonts w:ascii="Arial" w:hAnsi="Arial" w:cs="Arial"/>
                <w:sz w:val="20"/>
                <w:szCs w:val="20"/>
              </w:rPr>
            </w:pPr>
            <w:r>
              <w:rPr>
                <w:rFonts w:ascii="Arial" w:hAnsi="Arial" w:cs="Arial"/>
                <w:sz w:val="20"/>
                <w:szCs w:val="20"/>
              </w:rPr>
              <w:t>Score total : min. 70/100</w:t>
            </w:r>
          </w:p>
        </w:tc>
      </w:tr>
      <w:tr w:rsidR="004A22BD" w:rsidRPr="00120C4D" w14:paraId="2B813856" w14:textId="77777777" w:rsidTr="006B51BC">
        <w:tc>
          <w:tcPr>
            <w:tcW w:w="2518" w:type="dxa"/>
          </w:tcPr>
          <w:p w14:paraId="3DD4B1E8" w14:textId="77777777" w:rsidR="004A22BD" w:rsidRPr="00120C4D" w:rsidRDefault="004A22BD" w:rsidP="006B51BC">
            <w:pPr>
              <w:rPr>
                <w:rFonts w:ascii="Arial" w:hAnsi="Arial" w:cs="Arial"/>
              </w:rPr>
            </w:pPr>
            <w:r>
              <w:rPr>
                <w:rFonts w:ascii="Arial" w:hAnsi="Arial" w:cs="Arial"/>
              </w:rPr>
              <w:t>Type de financement et m</w:t>
            </w:r>
            <w:r w:rsidRPr="00120C4D">
              <w:rPr>
                <w:rFonts w:ascii="Arial" w:hAnsi="Arial" w:cs="Arial"/>
              </w:rPr>
              <w:t>ontant maximum</w:t>
            </w:r>
          </w:p>
        </w:tc>
        <w:tc>
          <w:tcPr>
            <w:tcW w:w="6694" w:type="dxa"/>
          </w:tcPr>
          <w:p w14:paraId="23B9D731" w14:textId="29B85B46" w:rsidR="004A22BD" w:rsidRPr="00120C4D" w:rsidRDefault="004A22BD" w:rsidP="006B51BC">
            <w:pPr>
              <w:jc w:val="both"/>
              <w:rPr>
                <w:rFonts w:ascii="Arial" w:hAnsi="Arial" w:cs="Arial"/>
                <w:sz w:val="20"/>
                <w:szCs w:val="20"/>
              </w:rPr>
            </w:pPr>
            <w:r>
              <w:rPr>
                <w:rFonts w:ascii="Arial" w:hAnsi="Arial" w:cs="Arial"/>
                <w:sz w:val="20"/>
                <w:szCs w:val="20"/>
              </w:rPr>
              <w:t xml:space="preserve">Subvention représentant </w:t>
            </w:r>
            <w:r w:rsidR="00EC0469">
              <w:rPr>
                <w:rFonts w:ascii="Arial" w:hAnsi="Arial" w:cs="Arial"/>
                <w:sz w:val="20"/>
                <w:szCs w:val="20"/>
              </w:rPr>
              <w:t>7</w:t>
            </w:r>
            <w:r>
              <w:rPr>
                <w:rFonts w:ascii="Arial" w:hAnsi="Arial" w:cs="Arial"/>
                <w:sz w:val="20"/>
                <w:szCs w:val="20"/>
              </w:rPr>
              <w:t>0% des coûts éligibles</w:t>
            </w:r>
            <w:r w:rsidR="00EC0469">
              <w:rPr>
                <w:rFonts w:ascii="Arial" w:hAnsi="Arial" w:cs="Arial"/>
                <w:sz w:val="20"/>
                <w:szCs w:val="20"/>
              </w:rPr>
              <w:t>.</w:t>
            </w:r>
          </w:p>
        </w:tc>
      </w:tr>
    </w:tbl>
    <w:p w14:paraId="175B044D" w14:textId="77777777" w:rsidR="004A22BD" w:rsidRPr="00120C4D" w:rsidRDefault="004A22BD" w:rsidP="004A22BD">
      <w:pPr>
        <w:rPr>
          <w:rFonts w:ascii="Arial" w:hAnsi="Arial" w:cs="Arial"/>
        </w:rPr>
      </w:pPr>
    </w:p>
    <w:p w14:paraId="19C0B546" w14:textId="77777777" w:rsidR="004A22BD" w:rsidRDefault="004A22BD" w:rsidP="004A22BD"/>
    <w:p w14:paraId="10F6F3DB" w14:textId="77777777" w:rsidR="004A22BD" w:rsidRDefault="004A22BD" w:rsidP="004A22BD"/>
    <w:p w14:paraId="6CF5DF97" w14:textId="77777777" w:rsidR="004A22BD" w:rsidRDefault="004A22BD" w:rsidP="004A22BD"/>
    <w:p w14:paraId="2F8F8530" w14:textId="77777777" w:rsidR="004A22BD" w:rsidRDefault="004A22BD" w:rsidP="004A22BD"/>
    <w:p w14:paraId="2FF55A7B" w14:textId="77777777" w:rsidR="004A22BD" w:rsidRDefault="004A22BD" w:rsidP="004A22BD"/>
    <w:p w14:paraId="729CE491" w14:textId="77777777" w:rsidR="004A22BD" w:rsidRDefault="004A22BD" w:rsidP="004A22BD"/>
    <w:p w14:paraId="07F97E3F" w14:textId="77777777" w:rsidR="004A22BD" w:rsidRDefault="004A22BD" w:rsidP="004A22BD"/>
    <w:p w14:paraId="584C3BF4" w14:textId="77777777" w:rsidR="008400DD" w:rsidRDefault="008400DD"/>
    <w:sectPr w:rsidR="00840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740CF"/>
    <w:multiLevelType w:val="hybridMultilevel"/>
    <w:tmpl w:val="8F2AA768"/>
    <w:lvl w:ilvl="0" w:tplc="8E98C66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3616F"/>
    <w:multiLevelType w:val="hybridMultilevel"/>
    <w:tmpl w:val="38FA1B70"/>
    <w:lvl w:ilvl="0" w:tplc="080C0001">
      <w:start w:val="1"/>
      <w:numFmt w:val="bullet"/>
      <w:lvlText w:val=""/>
      <w:lvlJc w:val="left"/>
      <w:pPr>
        <w:ind w:left="643" w:hanging="360"/>
      </w:pPr>
      <w:rPr>
        <w:rFonts w:ascii="Symbol" w:hAnsi="Symbol" w:hint="default"/>
      </w:rPr>
    </w:lvl>
    <w:lvl w:ilvl="1" w:tplc="080C0003" w:tentative="1">
      <w:start w:val="1"/>
      <w:numFmt w:val="bullet"/>
      <w:lvlText w:val="o"/>
      <w:lvlJc w:val="left"/>
      <w:pPr>
        <w:ind w:left="1363" w:hanging="360"/>
      </w:pPr>
      <w:rPr>
        <w:rFonts w:ascii="Courier New" w:hAnsi="Courier New" w:cs="Courier New" w:hint="default"/>
      </w:rPr>
    </w:lvl>
    <w:lvl w:ilvl="2" w:tplc="080C0005" w:tentative="1">
      <w:start w:val="1"/>
      <w:numFmt w:val="bullet"/>
      <w:lvlText w:val=""/>
      <w:lvlJc w:val="left"/>
      <w:pPr>
        <w:ind w:left="2083" w:hanging="360"/>
      </w:pPr>
      <w:rPr>
        <w:rFonts w:ascii="Wingdings" w:hAnsi="Wingdings" w:hint="default"/>
      </w:rPr>
    </w:lvl>
    <w:lvl w:ilvl="3" w:tplc="080C0001" w:tentative="1">
      <w:start w:val="1"/>
      <w:numFmt w:val="bullet"/>
      <w:lvlText w:val=""/>
      <w:lvlJc w:val="left"/>
      <w:pPr>
        <w:ind w:left="2803" w:hanging="360"/>
      </w:pPr>
      <w:rPr>
        <w:rFonts w:ascii="Symbol" w:hAnsi="Symbol" w:hint="default"/>
      </w:rPr>
    </w:lvl>
    <w:lvl w:ilvl="4" w:tplc="080C0003" w:tentative="1">
      <w:start w:val="1"/>
      <w:numFmt w:val="bullet"/>
      <w:lvlText w:val="o"/>
      <w:lvlJc w:val="left"/>
      <w:pPr>
        <w:ind w:left="3523" w:hanging="360"/>
      </w:pPr>
      <w:rPr>
        <w:rFonts w:ascii="Courier New" w:hAnsi="Courier New" w:cs="Courier New" w:hint="default"/>
      </w:rPr>
    </w:lvl>
    <w:lvl w:ilvl="5" w:tplc="080C0005" w:tentative="1">
      <w:start w:val="1"/>
      <w:numFmt w:val="bullet"/>
      <w:lvlText w:val=""/>
      <w:lvlJc w:val="left"/>
      <w:pPr>
        <w:ind w:left="4243" w:hanging="360"/>
      </w:pPr>
      <w:rPr>
        <w:rFonts w:ascii="Wingdings" w:hAnsi="Wingdings" w:hint="default"/>
      </w:rPr>
    </w:lvl>
    <w:lvl w:ilvl="6" w:tplc="080C0001" w:tentative="1">
      <w:start w:val="1"/>
      <w:numFmt w:val="bullet"/>
      <w:lvlText w:val=""/>
      <w:lvlJc w:val="left"/>
      <w:pPr>
        <w:ind w:left="4963" w:hanging="360"/>
      </w:pPr>
      <w:rPr>
        <w:rFonts w:ascii="Symbol" w:hAnsi="Symbol" w:hint="default"/>
      </w:rPr>
    </w:lvl>
    <w:lvl w:ilvl="7" w:tplc="080C0003" w:tentative="1">
      <w:start w:val="1"/>
      <w:numFmt w:val="bullet"/>
      <w:lvlText w:val="o"/>
      <w:lvlJc w:val="left"/>
      <w:pPr>
        <w:ind w:left="5683" w:hanging="360"/>
      </w:pPr>
      <w:rPr>
        <w:rFonts w:ascii="Courier New" w:hAnsi="Courier New" w:cs="Courier New" w:hint="default"/>
      </w:rPr>
    </w:lvl>
    <w:lvl w:ilvl="8" w:tplc="080C0005" w:tentative="1">
      <w:start w:val="1"/>
      <w:numFmt w:val="bullet"/>
      <w:lvlText w:val=""/>
      <w:lvlJc w:val="left"/>
      <w:pPr>
        <w:ind w:left="6403" w:hanging="360"/>
      </w:pPr>
      <w:rPr>
        <w:rFonts w:ascii="Wingdings" w:hAnsi="Wingdings" w:hint="default"/>
      </w:rPr>
    </w:lvl>
  </w:abstractNum>
  <w:abstractNum w:abstractNumId="2" w15:restartNumberingAfterBreak="0">
    <w:nsid w:val="54E06659"/>
    <w:multiLevelType w:val="hybridMultilevel"/>
    <w:tmpl w:val="85CE9A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26165686">
    <w:abstractNumId w:val="2"/>
  </w:num>
  <w:num w:numId="2" w16cid:durableId="66418537">
    <w:abstractNumId w:val="1"/>
  </w:num>
  <w:num w:numId="3" w16cid:durableId="22145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BD"/>
    <w:rsid w:val="0048412C"/>
    <w:rsid w:val="004A22BD"/>
    <w:rsid w:val="006153FE"/>
    <w:rsid w:val="00717667"/>
    <w:rsid w:val="008400DD"/>
    <w:rsid w:val="00EC0469"/>
    <w:rsid w:val="00FF15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006A"/>
  <w15:chartTrackingRefBased/>
  <w15:docId w15:val="{3755E11F-22A9-46E2-9005-A84AB2A5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BD"/>
  </w:style>
  <w:style w:type="paragraph" w:styleId="Titre1">
    <w:name w:val="heading 1"/>
    <w:basedOn w:val="Normal"/>
    <w:next w:val="Normal"/>
    <w:link w:val="Titre1Car"/>
    <w:uiPriority w:val="9"/>
    <w:qFormat/>
    <w:rsid w:val="004A2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A2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A22B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A22B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A22B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A22B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A22B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A22B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A22B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22B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A22B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A22B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A22B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A22B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A22B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A22B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A22B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A22BD"/>
    <w:rPr>
      <w:rFonts w:eastAsiaTheme="majorEastAsia" w:cstheme="majorBidi"/>
      <w:color w:val="272727" w:themeColor="text1" w:themeTint="D8"/>
    </w:rPr>
  </w:style>
  <w:style w:type="paragraph" w:styleId="Titre">
    <w:name w:val="Title"/>
    <w:basedOn w:val="Normal"/>
    <w:next w:val="Normal"/>
    <w:link w:val="TitreCar"/>
    <w:uiPriority w:val="10"/>
    <w:qFormat/>
    <w:rsid w:val="004A2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22B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A22B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A22B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A22BD"/>
    <w:pPr>
      <w:spacing w:before="160"/>
      <w:jc w:val="center"/>
    </w:pPr>
    <w:rPr>
      <w:i/>
      <w:iCs/>
      <w:color w:val="404040" w:themeColor="text1" w:themeTint="BF"/>
    </w:rPr>
  </w:style>
  <w:style w:type="character" w:customStyle="1" w:styleId="CitationCar">
    <w:name w:val="Citation Car"/>
    <w:basedOn w:val="Policepardfaut"/>
    <w:link w:val="Citation"/>
    <w:uiPriority w:val="29"/>
    <w:rsid w:val="004A22BD"/>
    <w:rPr>
      <w:i/>
      <w:iCs/>
      <w:color w:val="404040" w:themeColor="text1" w:themeTint="BF"/>
    </w:rPr>
  </w:style>
  <w:style w:type="paragraph" w:styleId="Paragraphedeliste">
    <w:name w:val="List Paragraph"/>
    <w:basedOn w:val="Normal"/>
    <w:uiPriority w:val="34"/>
    <w:qFormat/>
    <w:rsid w:val="004A22BD"/>
    <w:pPr>
      <w:ind w:left="720"/>
      <w:contextualSpacing/>
    </w:pPr>
  </w:style>
  <w:style w:type="character" w:styleId="Accentuationintense">
    <w:name w:val="Intense Emphasis"/>
    <w:basedOn w:val="Policepardfaut"/>
    <w:uiPriority w:val="21"/>
    <w:qFormat/>
    <w:rsid w:val="004A22BD"/>
    <w:rPr>
      <w:i/>
      <w:iCs/>
      <w:color w:val="0F4761" w:themeColor="accent1" w:themeShade="BF"/>
    </w:rPr>
  </w:style>
  <w:style w:type="paragraph" w:styleId="Citationintense">
    <w:name w:val="Intense Quote"/>
    <w:basedOn w:val="Normal"/>
    <w:next w:val="Normal"/>
    <w:link w:val="CitationintenseCar"/>
    <w:uiPriority w:val="30"/>
    <w:qFormat/>
    <w:rsid w:val="004A2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A22BD"/>
    <w:rPr>
      <w:i/>
      <w:iCs/>
      <w:color w:val="0F4761" w:themeColor="accent1" w:themeShade="BF"/>
    </w:rPr>
  </w:style>
  <w:style w:type="character" w:styleId="Rfrenceintense">
    <w:name w:val="Intense Reference"/>
    <w:basedOn w:val="Policepardfaut"/>
    <w:uiPriority w:val="32"/>
    <w:qFormat/>
    <w:rsid w:val="004A22BD"/>
    <w:rPr>
      <w:b/>
      <w:bCs/>
      <w:smallCaps/>
      <w:color w:val="0F4761" w:themeColor="accent1" w:themeShade="BF"/>
      <w:spacing w:val="5"/>
    </w:rPr>
  </w:style>
  <w:style w:type="paragraph" w:styleId="En-tte">
    <w:name w:val="header"/>
    <w:basedOn w:val="Normal"/>
    <w:link w:val="En-tteCar"/>
    <w:uiPriority w:val="99"/>
    <w:unhideWhenUsed/>
    <w:rsid w:val="004A22BD"/>
    <w:pPr>
      <w:tabs>
        <w:tab w:val="center" w:pos="4536"/>
        <w:tab w:val="right" w:pos="9072"/>
      </w:tabs>
      <w:spacing w:after="0" w:line="240" w:lineRule="auto"/>
    </w:pPr>
    <w:rPr>
      <w:kern w:val="0"/>
      <w:sz w:val="22"/>
      <w:szCs w:val="22"/>
      <w14:ligatures w14:val="none"/>
    </w:rPr>
  </w:style>
  <w:style w:type="character" w:customStyle="1" w:styleId="En-tteCar">
    <w:name w:val="En-tête Car"/>
    <w:basedOn w:val="Policepardfaut"/>
    <w:link w:val="En-tte"/>
    <w:uiPriority w:val="99"/>
    <w:rsid w:val="004A22BD"/>
    <w:rPr>
      <w:kern w:val="0"/>
      <w:sz w:val="22"/>
      <w:szCs w:val="22"/>
      <w14:ligatures w14:val="none"/>
    </w:rPr>
  </w:style>
  <w:style w:type="table" w:styleId="Grilledutableau">
    <w:name w:val="Table Grid"/>
    <w:basedOn w:val="TableauNormal"/>
    <w:uiPriority w:val="59"/>
    <w:rsid w:val="004A22B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393</Words>
  <Characters>2163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Anne</dc:creator>
  <cp:keywords/>
  <dc:description/>
  <cp:lastModifiedBy>Peeters Anne</cp:lastModifiedBy>
  <cp:revision>1</cp:revision>
  <dcterms:created xsi:type="dcterms:W3CDTF">2024-10-10T07:56:00Z</dcterms:created>
  <dcterms:modified xsi:type="dcterms:W3CDTF">2024-10-10T09:03:00Z</dcterms:modified>
</cp:coreProperties>
</file>