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B6BB" w14:textId="77777777" w:rsidR="0051640B" w:rsidRPr="00120C4D" w:rsidRDefault="0051640B" w:rsidP="0051640B">
      <w:pPr>
        <w:jc w:val="center"/>
        <w:rPr>
          <w:rFonts w:ascii="Arial" w:hAnsi="Arial" w:cs="Arial"/>
          <w:b/>
          <w:sz w:val="28"/>
          <w:szCs w:val="28"/>
          <w:u w:val="single"/>
          <w:lang w:val="fr-FR"/>
        </w:rPr>
      </w:pPr>
      <w:r w:rsidRPr="00120C4D">
        <w:rPr>
          <w:rFonts w:ascii="Arial" w:hAnsi="Arial" w:cs="Arial"/>
          <w:b/>
          <w:sz w:val="28"/>
          <w:szCs w:val="28"/>
          <w:u w:val="single"/>
          <w:lang w:val="fr-FR"/>
        </w:rPr>
        <w:t>Appel à proposition de la Commission européenne</w:t>
      </w:r>
    </w:p>
    <w:p w14:paraId="5AA5DDA1" w14:textId="77777777" w:rsidR="0051640B" w:rsidRPr="00120C4D" w:rsidRDefault="0051640B" w:rsidP="0051640B">
      <w:pPr>
        <w:jc w:val="center"/>
        <w:rPr>
          <w:rFonts w:ascii="Arial" w:hAnsi="Arial" w:cs="Arial"/>
          <w:b/>
          <w:sz w:val="28"/>
          <w:szCs w:val="28"/>
          <w:u w:val="single"/>
          <w:lang w:val="fr-FR"/>
        </w:rPr>
      </w:pPr>
    </w:p>
    <w:tbl>
      <w:tblPr>
        <w:tblStyle w:val="Grilledutableau"/>
        <w:tblW w:w="0" w:type="auto"/>
        <w:tblLook w:val="04A0" w:firstRow="1" w:lastRow="0" w:firstColumn="1" w:lastColumn="0" w:noHBand="0" w:noVBand="1"/>
      </w:tblPr>
      <w:tblGrid>
        <w:gridCol w:w="2490"/>
        <w:gridCol w:w="6572"/>
      </w:tblGrid>
      <w:tr w:rsidR="0051640B" w:rsidRPr="00120C4D" w14:paraId="3098185C" w14:textId="77777777" w:rsidTr="00E1556E">
        <w:tc>
          <w:tcPr>
            <w:tcW w:w="9062" w:type="dxa"/>
            <w:gridSpan w:val="2"/>
          </w:tcPr>
          <w:p w14:paraId="28343E16" w14:textId="66617F5B" w:rsidR="0051640B" w:rsidRDefault="0051640B" w:rsidP="00E1556E">
            <w:pPr>
              <w:jc w:val="both"/>
              <w:rPr>
                <w:rFonts w:ascii="Arial" w:hAnsi="Arial" w:cs="Arial"/>
              </w:rPr>
            </w:pPr>
            <w:r w:rsidRPr="0062283A">
              <w:rPr>
                <w:rFonts w:ascii="Arial" w:hAnsi="Arial" w:cs="Arial"/>
              </w:rPr>
              <w:t xml:space="preserve">Appel à proposition </w:t>
            </w:r>
            <w:r>
              <w:rPr>
                <w:rFonts w:ascii="Arial" w:hAnsi="Arial" w:cs="Arial"/>
              </w:rPr>
              <w:t>pour des actions de recherche non thématiques liées aux technologies disruptives dans le domaine de la défense.</w:t>
            </w:r>
          </w:p>
          <w:p w14:paraId="45D7DC8F" w14:textId="3C42AFEF" w:rsidR="0051640B" w:rsidRPr="0062283A" w:rsidRDefault="0051640B" w:rsidP="00E1556E">
            <w:pPr>
              <w:jc w:val="both"/>
              <w:rPr>
                <w:rFonts w:ascii="Arial" w:hAnsi="Arial" w:cs="Arial"/>
              </w:rPr>
            </w:pPr>
            <w:r>
              <w:rPr>
                <w:rFonts w:ascii="Arial" w:hAnsi="Arial" w:cs="Arial"/>
              </w:rPr>
              <w:t>Code : EDF – 2024 – LS – RA - DIS</w:t>
            </w:r>
          </w:p>
          <w:p w14:paraId="7B2A3E1E" w14:textId="0CD40A72" w:rsidR="0051640B" w:rsidRPr="009967F5" w:rsidRDefault="0051640B" w:rsidP="00CB1ED7">
            <w:pPr>
              <w:jc w:val="both"/>
              <w:rPr>
                <w:rFonts w:ascii="Arial" w:hAnsi="Arial" w:cs="Arial"/>
                <w:sz w:val="20"/>
                <w:szCs w:val="20"/>
              </w:rPr>
            </w:pPr>
            <w:r w:rsidRPr="009967F5">
              <w:rPr>
                <w:rFonts w:ascii="Arial" w:hAnsi="Arial" w:cs="Arial"/>
                <w:sz w:val="20"/>
                <w:szCs w:val="20"/>
              </w:rPr>
              <w:t xml:space="preserve">Référence légale : </w:t>
            </w:r>
            <w:r w:rsidR="00CB1ED7">
              <w:rPr>
                <w:rFonts w:ascii="Arial" w:hAnsi="Arial" w:cs="Arial"/>
                <w:sz w:val="20"/>
                <w:szCs w:val="20"/>
              </w:rPr>
              <w:t>règlement 2018/1046 – Acte de base du Fonds européen de défense 2021/697 et règlement STEP 2024/795</w:t>
            </w:r>
          </w:p>
          <w:p w14:paraId="1E9E0E52" w14:textId="63F7A9B8" w:rsidR="0051640B" w:rsidRPr="00120C4D" w:rsidRDefault="0051640B" w:rsidP="00E1556E">
            <w:pPr>
              <w:rPr>
                <w:rFonts w:ascii="Arial" w:hAnsi="Arial" w:cs="Arial"/>
                <w:sz w:val="24"/>
                <w:szCs w:val="24"/>
              </w:rPr>
            </w:pPr>
            <w:r w:rsidRPr="00696ECF">
              <w:rPr>
                <w:rFonts w:ascii="Arial" w:hAnsi="Arial" w:cs="Arial"/>
                <w:b/>
                <w:bCs/>
                <w:color w:val="00B0F0"/>
                <w:sz w:val="20"/>
                <w:szCs w:val="20"/>
                <w:shd w:val="clear" w:color="auto" w:fill="FFFFFF"/>
              </w:rPr>
              <w:t xml:space="preserve">Mots clés : </w:t>
            </w:r>
            <w:r w:rsidR="00CB1ED7">
              <w:rPr>
                <w:rFonts w:ascii="Arial" w:hAnsi="Arial" w:cs="Arial"/>
                <w:b/>
                <w:bCs/>
                <w:color w:val="00B0F0"/>
                <w:sz w:val="20"/>
                <w:szCs w:val="20"/>
                <w:shd w:val="clear" w:color="auto" w:fill="FFFFFF"/>
              </w:rPr>
              <w:t>industrie de la défense – recherche et innovation – technologies disruptives</w:t>
            </w:r>
          </w:p>
        </w:tc>
      </w:tr>
      <w:tr w:rsidR="0051640B" w:rsidRPr="00120C4D" w14:paraId="098409B8" w14:textId="77777777" w:rsidTr="00E1556E">
        <w:tc>
          <w:tcPr>
            <w:tcW w:w="2490" w:type="dxa"/>
          </w:tcPr>
          <w:p w14:paraId="55EB6094" w14:textId="77777777" w:rsidR="0051640B" w:rsidRPr="00120C4D" w:rsidRDefault="0051640B" w:rsidP="00E1556E">
            <w:pPr>
              <w:jc w:val="both"/>
              <w:rPr>
                <w:rFonts w:ascii="Arial" w:hAnsi="Arial" w:cs="Arial"/>
              </w:rPr>
            </w:pPr>
            <w:r w:rsidRPr="00120C4D">
              <w:rPr>
                <w:rFonts w:ascii="Arial" w:hAnsi="Arial" w:cs="Arial"/>
              </w:rPr>
              <w:t>Titre</w:t>
            </w:r>
          </w:p>
        </w:tc>
        <w:tc>
          <w:tcPr>
            <w:tcW w:w="6572" w:type="dxa"/>
          </w:tcPr>
          <w:p w14:paraId="41E501D4" w14:textId="1F876436" w:rsidR="0051640B" w:rsidRPr="00120C4D" w:rsidRDefault="00CB1ED7" w:rsidP="00E1556E">
            <w:pPr>
              <w:jc w:val="both"/>
              <w:rPr>
                <w:rFonts w:ascii="Arial" w:hAnsi="Arial" w:cs="Arial"/>
                <w:sz w:val="20"/>
                <w:szCs w:val="20"/>
              </w:rPr>
            </w:pPr>
            <w:r>
              <w:rPr>
                <w:rFonts w:ascii="Arial" w:hAnsi="Arial" w:cs="Arial"/>
                <w:sz w:val="20"/>
                <w:szCs w:val="20"/>
              </w:rPr>
              <w:t>Action de recherche et d’innovation non thématiques liées aux technologies disruptives dans le domaine de l’industrie de la défense.</w:t>
            </w:r>
          </w:p>
        </w:tc>
      </w:tr>
      <w:tr w:rsidR="0051640B" w:rsidRPr="00120C4D" w14:paraId="75D201C0" w14:textId="77777777" w:rsidTr="00E1556E">
        <w:tc>
          <w:tcPr>
            <w:tcW w:w="2490" w:type="dxa"/>
          </w:tcPr>
          <w:p w14:paraId="29759A4F" w14:textId="77777777" w:rsidR="0051640B" w:rsidRPr="00120C4D" w:rsidRDefault="0051640B" w:rsidP="00E1556E">
            <w:pPr>
              <w:jc w:val="both"/>
              <w:rPr>
                <w:rFonts w:ascii="Arial" w:hAnsi="Arial" w:cs="Arial"/>
              </w:rPr>
            </w:pPr>
            <w:r w:rsidRPr="00120C4D">
              <w:rPr>
                <w:rFonts w:ascii="Arial" w:hAnsi="Arial" w:cs="Arial"/>
              </w:rPr>
              <w:t>Objet</w:t>
            </w:r>
          </w:p>
        </w:tc>
        <w:tc>
          <w:tcPr>
            <w:tcW w:w="6572" w:type="dxa"/>
          </w:tcPr>
          <w:p w14:paraId="2EAC5D82" w14:textId="77777777" w:rsidR="0051640B" w:rsidRDefault="00550531" w:rsidP="00E1556E">
            <w:pPr>
              <w:jc w:val="both"/>
              <w:rPr>
                <w:rFonts w:ascii="Arial" w:hAnsi="Arial" w:cs="Arial"/>
                <w:sz w:val="20"/>
                <w:szCs w:val="20"/>
              </w:rPr>
            </w:pPr>
            <w:r>
              <w:rPr>
                <w:rFonts w:ascii="Arial" w:hAnsi="Arial" w:cs="Arial"/>
                <w:sz w:val="20"/>
                <w:szCs w:val="20"/>
              </w:rPr>
              <w:t>L’appel vise à encourager et soutenir des contributions scientifiques et technologiques futures et des applications dans le domaine de l’industrie de la défense. Il entend ainsi soutenir le développement des capacités d’innovation de l’industrie de la défense européenne en identifiant et explorant des concepts scientifiques neufs</w:t>
            </w:r>
            <w:r w:rsidR="00356876">
              <w:rPr>
                <w:rFonts w:ascii="Arial" w:hAnsi="Arial" w:cs="Arial"/>
                <w:sz w:val="20"/>
                <w:szCs w:val="20"/>
              </w:rPr>
              <w:t xml:space="preserve"> et des approches différentes. Les propositions soumises doivent déboucher sur une amélioration de la compétitivité de la défense européenne et sur la création de nouveaux marchés ainsi qu’une amélioration nette des résultats de la recherche et de l’innovation par l’implication des acteurs.</w:t>
            </w:r>
          </w:p>
          <w:p w14:paraId="7F750350" w14:textId="77777777" w:rsidR="00356876" w:rsidRDefault="00356876" w:rsidP="00E1556E">
            <w:pPr>
              <w:jc w:val="both"/>
              <w:rPr>
                <w:rFonts w:ascii="Arial" w:hAnsi="Arial" w:cs="Arial"/>
                <w:sz w:val="20"/>
                <w:szCs w:val="20"/>
              </w:rPr>
            </w:pPr>
            <w:r>
              <w:rPr>
                <w:rFonts w:ascii="Arial" w:hAnsi="Arial" w:cs="Arial"/>
                <w:sz w:val="20"/>
                <w:szCs w:val="20"/>
              </w:rPr>
              <w:t>L’appel cite quelques exemples :</w:t>
            </w:r>
          </w:p>
          <w:p w14:paraId="3F6089AC" w14:textId="77777777" w:rsidR="00356876" w:rsidRDefault="00356876" w:rsidP="00356876">
            <w:pPr>
              <w:pStyle w:val="Paragraphedeliste"/>
              <w:numPr>
                <w:ilvl w:val="0"/>
                <w:numId w:val="1"/>
              </w:numPr>
              <w:jc w:val="both"/>
              <w:rPr>
                <w:rFonts w:ascii="Arial" w:hAnsi="Arial" w:cs="Arial"/>
                <w:sz w:val="20"/>
                <w:szCs w:val="20"/>
              </w:rPr>
            </w:pPr>
            <w:r>
              <w:rPr>
                <w:rFonts w:ascii="Arial" w:hAnsi="Arial" w:cs="Arial"/>
                <w:sz w:val="20"/>
                <w:szCs w:val="20"/>
              </w:rPr>
              <w:t>Des mesures des états cognitifs et physiologiques ;</w:t>
            </w:r>
          </w:p>
          <w:p w14:paraId="20C940BE" w14:textId="77777777" w:rsidR="00356876" w:rsidRDefault="00356876" w:rsidP="00356876">
            <w:pPr>
              <w:pStyle w:val="Paragraphedeliste"/>
              <w:numPr>
                <w:ilvl w:val="0"/>
                <w:numId w:val="1"/>
              </w:numPr>
              <w:jc w:val="both"/>
              <w:rPr>
                <w:rFonts w:ascii="Arial" w:hAnsi="Arial" w:cs="Arial"/>
                <w:sz w:val="20"/>
                <w:szCs w:val="20"/>
              </w:rPr>
            </w:pPr>
            <w:r>
              <w:rPr>
                <w:rFonts w:ascii="Arial" w:hAnsi="Arial" w:cs="Arial"/>
                <w:sz w:val="20"/>
                <w:szCs w:val="20"/>
              </w:rPr>
              <w:t>Une optimisation des performances</w:t>
            </w:r>
            <w:r w:rsidR="00E9280C">
              <w:rPr>
                <w:rFonts w:ascii="Arial" w:hAnsi="Arial" w:cs="Arial"/>
                <w:sz w:val="20"/>
                <w:szCs w:val="20"/>
              </w:rPr>
              <w:t xml:space="preserve"> cognitives sur les interactions homme – machine ;</w:t>
            </w:r>
          </w:p>
          <w:p w14:paraId="309E499D" w14:textId="77777777" w:rsidR="00E9280C" w:rsidRDefault="00E9280C" w:rsidP="00356876">
            <w:pPr>
              <w:pStyle w:val="Paragraphedeliste"/>
              <w:numPr>
                <w:ilvl w:val="0"/>
                <w:numId w:val="1"/>
              </w:numPr>
              <w:jc w:val="both"/>
              <w:rPr>
                <w:rFonts w:ascii="Arial" w:hAnsi="Arial" w:cs="Arial"/>
                <w:sz w:val="20"/>
                <w:szCs w:val="20"/>
              </w:rPr>
            </w:pPr>
            <w:r>
              <w:rPr>
                <w:rFonts w:ascii="Arial" w:hAnsi="Arial" w:cs="Arial"/>
                <w:sz w:val="20"/>
                <w:szCs w:val="20"/>
              </w:rPr>
              <w:t>Des applications blockchain ;</w:t>
            </w:r>
          </w:p>
          <w:p w14:paraId="078A439A" w14:textId="0C97CEBA" w:rsidR="00E9280C" w:rsidRDefault="00E9280C" w:rsidP="00356876">
            <w:pPr>
              <w:pStyle w:val="Paragraphedeliste"/>
              <w:numPr>
                <w:ilvl w:val="0"/>
                <w:numId w:val="1"/>
              </w:numPr>
              <w:jc w:val="both"/>
              <w:rPr>
                <w:rFonts w:ascii="Arial" w:hAnsi="Arial" w:cs="Arial"/>
                <w:sz w:val="20"/>
                <w:szCs w:val="20"/>
              </w:rPr>
            </w:pPr>
            <w:r>
              <w:rPr>
                <w:rFonts w:ascii="Arial" w:hAnsi="Arial" w:cs="Arial"/>
                <w:sz w:val="20"/>
                <w:szCs w:val="20"/>
              </w:rPr>
              <w:t>Des outils et applications d’amélioration de la cybersécurité ;</w:t>
            </w:r>
          </w:p>
          <w:p w14:paraId="3E16ABDF" w14:textId="311EC64A" w:rsidR="00E9280C" w:rsidRDefault="00E9280C" w:rsidP="00356876">
            <w:pPr>
              <w:pStyle w:val="Paragraphedeliste"/>
              <w:numPr>
                <w:ilvl w:val="0"/>
                <w:numId w:val="1"/>
              </w:numPr>
              <w:jc w:val="both"/>
              <w:rPr>
                <w:rFonts w:ascii="Arial" w:hAnsi="Arial" w:cs="Arial"/>
                <w:sz w:val="20"/>
                <w:szCs w:val="20"/>
              </w:rPr>
            </w:pPr>
            <w:r>
              <w:rPr>
                <w:rFonts w:ascii="Arial" w:hAnsi="Arial" w:cs="Arial"/>
                <w:sz w:val="20"/>
                <w:szCs w:val="20"/>
              </w:rPr>
              <w:t>Intelligence artificielle et systèmes robotiques autonomes…</w:t>
            </w:r>
          </w:p>
          <w:p w14:paraId="75971C73" w14:textId="77777777" w:rsidR="000B4F9F" w:rsidRDefault="000B4F9F" w:rsidP="000B4F9F">
            <w:pPr>
              <w:jc w:val="both"/>
              <w:rPr>
                <w:rFonts w:ascii="Arial" w:hAnsi="Arial" w:cs="Arial"/>
                <w:sz w:val="20"/>
                <w:szCs w:val="20"/>
              </w:rPr>
            </w:pPr>
            <w:r>
              <w:rPr>
                <w:rFonts w:ascii="Arial" w:hAnsi="Arial" w:cs="Arial"/>
                <w:sz w:val="20"/>
                <w:szCs w:val="20"/>
              </w:rPr>
              <w:t>Il n’y a pas de nombre maximum de projets à financer, mais le budget total est de 16 millions d’euros</w:t>
            </w:r>
          </w:p>
          <w:p w14:paraId="1B506226" w14:textId="08BE6E2F" w:rsidR="000B4F9F" w:rsidRPr="000B4F9F" w:rsidRDefault="000B4F9F" w:rsidP="000B4F9F">
            <w:pPr>
              <w:jc w:val="both"/>
              <w:rPr>
                <w:rFonts w:ascii="Arial" w:hAnsi="Arial" w:cs="Arial"/>
                <w:sz w:val="20"/>
                <w:szCs w:val="20"/>
              </w:rPr>
            </w:pPr>
          </w:p>
        </w:tc>
      </w:tr>
      <w:tr w:rsidR="0051640B" w:rsidRPr="00120C4D" w14:paraId="67E8AE91" w14:textId="77777777" w:rsidTr="00E1556E">
        <w:tc>
          <w:tcPr>
            <w:tcW w:w="2490" w:type="dxa"/>
          </w:tcPr>
          <w:p w14:paraId="149A1A90" w14:textId="77777777" w:rsidR="0051640B" w:rsidRPr="00120C4D" w:rsidRDefault="0051640B" w:rsidP="00E1556E">
            <w:pPr>
              <w:jc w:val="both"/>
              <w:rPr>
                <w:rFonts w:ascii="Arial" w:hAnsi="Arial" w:cs="Arial"/>
              </w:rPr>
            </w:pPr>
            <w:r w:rsidRPr="00120C4D">
              <w:rPr>
                <w:rFonts w:ascii="Arial" w:hAnsi="Arial" w:cs="Arial"/>
              </w:rPr>
              <w:t>Publics cibles</w:t>
            </w:r>
          </w:p>
        </w:tc>
        <w:tc>
          <w:tcPr>
            <w:tcW w:w="6572" w:type="dxa"/>
          </w:tcPr>
          <w:p w14:paraId="76F9CADE" w14:textId="381D3664" w:rsidR="0051640B" w:rsidRPr="00AE3DC0" w:rsidRDefault="000B4F9F" w:rsidP="00E1556E">
            <w:pPr>
              <w:jc w:val="both"/>
              <w:rPr>
                <w:rFonts w:ascii="Arial" w:hAnsi="Arial" w:cs="Arial"/>
                <w:sz w:val="20"/>
                <w:szCs w:val="20"/>
              </w:rPr>
            </w:pPr>
            <w:r>
              <w:rPr>
                <w:rFonts w:ascii="Arial" w:hAnsi="Arial" w:cs="Arial"/>
                <w:sz w:val="20"/>
                <w:szCs w:val="20"/>
              </w:rPr>
              <w:t xml:space="preserve">Centres de recherche et </w:t>
            </w:r>
            <w:r w:rsidR="002A27FF">
              <w:rPr>
                <w:rFonts w:ascii="Arial" w:hAnsi="Arial" w:cs="Arial"/>
                <w:sz w:val="20"/>
                <w:szCs w:val="20"/>
              </w:rPr>
              <w:t>d’innovation</w:t>
            </w:r>
            <w:r>
              <w:rPr>
                <w:rFonts w:ascii="Arial" w:hAnsi="Arial" w:cs="Arial"/>
                <w:sz w:val="20"/>
                <w:szCs w:val="20"/>
              </w:rPr>
              <w:t>, entreprises et PME</w:t>
            </w:r>
          </w:p>
        </w:tc>
      </w:tr>
      <w:tr w:rsidR="0051640B" w:rsidRPr="00120C4D" w14:paraId="79F58415" w14:textId="77777777" w:rsidTr="00E1556E">
        <w:tc>
          <w:tcPr>
            <w:tcW w:w="2490" w:type="dxa"/>
          </w:tcPr>
          <w:p w14:paraId="647DDDB2" w14:textId="77777777" w:rsidR="0051640B" w:rsidRPr="00120C4D" w:rsidRDefault="0051640B" w:rsidP="00E1556E">
            <w:pPr>
              <w:jc w:val="both"/>
              <w:rPr>
                <w:rFonts w:ascii="Arial" w:hAnsi="Arial" w:cs="Arial"/>
              </w:rPr>
            </w:pPr>
            <w:r w:rsidRPr="00120C4D">
              <w:rPr>
                <w:rFonts w:ascii="Arial" w:hAnsi="Arial" w:cs="Arial"/>
              </w:rPr>
              <w:t xml:space="preserve">Ouverture </w:t>
            </w:r>
          </w:p>
        </w:tc>
        <w:tc>
          <w:tcPr>
            <w:tcW w:w="6572" w:type="dxa"/>
          </w:tcPr>
          <w:p w14:paraId="0E01E687" w14:textId="69E8A39A" w:rsidR="0051640B" w:rsidRPr="00120C4D" w:rsidRDefault="000B4F9F" w:rsidP="002A27FF">
            <w:pPr>
              <w:jc w:val="both"/>
              <w:rPr>
                <w:rFonts w:ascii="Arial" w:hAnsi="Arial" w:cs="Arial"/>
                <w:sz w:val="20"/>
                <w:szCs w:val="20"/>
              </w:rPr>
            </w:pPr>
            <w:r>
              <w:rPr>
                <w:rFonts w:ascii="Arial" w:hAnsi="Arial" w:cs="Arial"/>
                <w:sz w:val="20"/>
                <w:szCs w:val="20"/>
              </w:rPr>
              <w:t>20 juin 2024</w:t>
            </w:r>
          </w:p>
        </w:tc>
      </w:tr>
      <w:tr w:rsidR="0051640B" w:rsidRPr="00120C4D" w14:paraId="4DB3DC70" w14:textId="77777777" w:rsidTr="00E1556E">
        <w:tc>
          <w:tcPr>
            <w:tcW w:w="2490" w:type="dxa"/>
          </w:tcPr>
          <w:p w14:paraId="5AD91EED" w14:textId="77777777" w:rsidR="0051640B" w:rsidRPr="00120C4D" w:rsidRDefault="0051640B" w:rsidP="00E1556E">
            <w:pPr>
              <w:jc w:val="both"/>
              <w:rPr>
                <w:rFonts w:ascii="Arial" w:hAnsi="Arial" w:cs="Arial"/>
              </w:rPr>
            </w:pPr>
            <w:r w:rsidRPr="00120C4D">
              <w:rPr>
                <w:rFonts w:ascii="Arial" w:hAnsi="Arial" w:cs="Arial"/>
              </w:rPr>
              <w:t xml:space="preserve">Fermeture </w:t>
            </w:r>
          </w:p>
        </w:tc>
        <w:tc>
          <w:tcPr>
            <w:tcW w:w="6572" w:type="dxa"/>
          </w:tcPr>
          <w:p w14:paraId="2BFE168D" w14:textId="1CD9411C" w:rsidR="0051640B" w:rsidRPr="00120C4D" w:rsidRDefault="000B4F9F" w:rsidP="002A27FF">
            <w:pPr>
              <w:jc w:val="both"/>
              <w:rPr>
                <w:rFonts w:ascii="Arial" w:hAnsi="Arial" w:cs="Arial"/>
                <w:sz w:val="20"/>
                <w:szCs w:val="20"/>
              </w:rPr>
            </w:pPr>
            <w:r>
              <w:rPr>
                <w:rFonts w:ascii="Arial" w:hAnsi="Arial" w:cs="Arial"/>
                <w:sz w:val="20"/>
                <w:szCs w:val="20"/>
              </w:rPr>
              <w:t>5 novembre 2024</w:t>
            </w:r>
          </w:p>
        </w:tc>
      </w:tr>
      <w:tr w:rsidR="0051640B" w:rsidRPr="00120C4D" w14:paraId="1195EB76" w14:textId="77777777" w:rsidTr="00E1556E">
        <w:trPr>
          <w:trHeight w:val="356"/>
        </w:trPr>
        <w:tc>
          <w:tcPr>
            <w:tcW w:w="2490" w:type="dxa"/>
          </w:tcPr>
          <w:p w14:paraId="081C9DE4" w14:textId="77777777" w:rsidR="0051640B" w:rsidRPr="00120C4D" w:rsidRDefault="0051640B" w:rsidP="00E1556E">
            <w:pPr>
              <w:jc w:val="both"/>
              <w:rPr>
                <w:rFonts w:ascii="Arial" w:hAnsi="Arial" w:cs="Arial"/>
              </w:rPr>
            </w:pPr>
            <w:r w:rsidRPr="00120C4D">
              <w:rPr>
                <w:rFonts w:ascii="Arial" w:hAnsi="Arial" w:cs="Arial"/>
              </w:rPr>
              <w:t>Délivrables</w:t>
            </w:r>
          </w:p>
        </w:tc>
        <w:tc>
          <w:tcPr>
            <w:tcW w:w="6572" w:type="dxa"/>
          </w:tcPr>
          <w:p w14:paraId="55A393CE" w14:textId="77777777" w:rsidR="002A27FF" w:rsidRDefault="002A27FF" w:rsidP="002A27FF">
            <w:pPr>
              <w:jc w:val="both"/>
              <w:rPr>
                <w:rFonts w:ascii="Arial" w:hAnsi="Arial" w:cs="Arial"/>
                <w:sz w:val="20"/>
                <w:szCs w:val="20"/>
              </w:rPr>
            </w:pPr>
            <w:r>
              <w:rPr>
                <w:rFonts w:ascii="Arial" w:hAnsi="Arial" w:cs="Arial"/>
                <w:sz w:val="20"/>
                <w:szCs w:val="20"/>
              </w:rPr>
              <w:t>Les types d’activités éligibles sont :</w:t>
            </w:r>
          </w:p>
          <w:p w14:paraId="7F6A2E5B" w14:textId="77777777" w:rsidR="002A27FF" w:rsidRDefault="002A27FF" w:rsidP="002A27FF">
            <w:pPr>
              <w:pStyle w:val="Paragraphedeliste"/>
              <w:numPr>
                <w:ilvl w:val="0"/>
                <w:numId w:val="1"/>
              </w:numPr>
              <w:jc w:val="both"/>
              <w:rPr>
                <w:rFonts w:ascii="Arial" w:hAnsi="Arial" w:cs="Arial"/>
                <w:sz w:val="20"/>
                <w:szCs w:val="20"/>
              </w:rPr>
            </w:pPr>
            <w:r>
              <w:rPr>
                <w:rFonts w:ascii="Arial" w:hAnsi="Arial" w:cs="Arial"/>
                <w:sz w:val="20"/>
                <w:szCs w:val="20"/>
              </w:rPr>
              <w:t>Des activités de création de la connaissance ;</w:t>
            </w:r>
          </w:p>
          <w:p w14:paraId="2781682C" w14:textId="77777777" w:rsidR="002A27FF" w:rsidRDefault="002A27FF" w:rsidP="002A27FF">
            <w:pPr>
              <w:pStyle w:val="Paragraphedeliste"/>
              <w:numPr>
                <w:ilvl w:val="0"/>
                <w:numId w:val="1"/>
              </w:numPr>
              <w:jc w:val="both"/>
              <w:rPr>
                <w:rFonts w:ascii="Arial" w:hAnsi="Arial" w:cs="Arial"/>
                <w:sz w:val="20"/>
                <w:szCs w:val="20"/>
              </w:rPr>
            </w:pPr>
            <w:r>
              <w:rPr>
                <w:rFonts w:ascii="Arial" w:hAnsi="Arial" w:cs="Arial"/>
                <w:sz w:val="20"/>
                <w:szCs w:val="20"/>
              </w:rPr>
              <w:t>Des activités d’intégration de la connaissance ;</w:t>
            </w:r>
          </w:p>
          <w:p w14:paraId="2A86376D" w14:textId="77777777" w:rsidR="002A27FF" w:rsidRDefault="002A27FF" w:rsidP="002A27FF">
            <w:pPr>
              <w:pStyle w:val="Paragraphedeliste"/>
              <w:numPr>
                <w:ilvl w:val="0"/>
                <w:numId w:val="1"/>
              </w:numPr>
              <w:jc w:val="both"/>
              <w:rPr>
                <w:rFonts w:ascii="Arial" w:hAnsi="Arial" w:cs="Arial"/>
                <w:sz w:val="20"/>
                <w:szCs w:val="20"/>
              </w:rPr>
            </w:pPr>
            <w:r>
              <w:rPr>
                <w:rFonts w:ascii="Arial" w:hAnsi="Arial" w:cs="Arial"/>
                <w:sz w:val="20"/>
                <w:szCs w:val="20"/>
              </w:rPr>
              <w:t>Des études de faisabilité ;</w:t>
            </w:r>
          </w:p>
          <w:p w14:paraId="7A092976" w14:textId="77777777" w:rsidR="002A27FF" w:rsidRDefault="002A27FF" w:rsidP="002A27FF">
            <w:pPr>
              <w:pStyle w:val="Paragraphedeliste"/>
              <w:numPr>
                <w:ilvl w:val="0"/>
                <w:numId w:val="1"/>
              </w:numPr>
              <w:jc w:val="both"/>
              <w:rPr>
                <w:rFonts w:ascii="Arial" w:hAnsi="Arial" w:cs="Arial"/>
                <w:sz w:val="20"/>
                <w:szCs w:val="20"/>
              </w:rPr>
            </w:pPr>
            <w:r>
              <w:rPr>
                <w:rFonts w:ascii="Arial" w:hAnsi="Arial" w:cs="Arial"/>
                <w:sz w:val="20"/>
                <w:szCs w:val="20"/>
              </w:rPr>
              <w:t>Du design de produits de défense ;</w:t>
            </w:r>
          </w:p>
          <w:p w14:paraId="4C887E0A" w14:textId="77777777" w:rsidR="002A27FF" w:rsidRDefault="002A27FF" w:rsidP="002A27FF">
            <w:pPr>
              <w:pStyle w:val="Paragraphedeliste"/>
              <w:numPr>
                <w:ilvl w:val="0"/>
                <w:numId w:val="1"/>
              </w:numPr>
              <w:jc w:val="both"/>
              <w:rPr>
                <w:rFonts w:ascii="Arial" w:hAnsi="Arial" w:cs="Arial"/>
                <w:sz w:val="20"/>
                <w:szCs w:val="20"/>
              </w:rPr>
            </w:pPr>
            <w:r>
              <w:rPr>
                <w:rFonts w:ascii="Arial" w:hAnsi="Arial" w:cs="Arial"/>
                <w:sz w:val="20"/>
                <w:szCs w:val="20"/>
              </w:rPr>
              <w:t>Du prototypage ;</w:t>
            </w:r>
          </w:p>
          <w:p w14:paraId="2B582E4F" w14:textId="77777777" w:rsidR="002A27FF" w:rsidRDefault="002A27FF" w:rsidP="002A27FF">
            <w:pPr>
              <w:pStyle w:val="Paragraphedeliste"/>
              <w:numPr>
                <w:ilvl w:val="0"/>
                <w:numId w:val="1"/>
              </w:numPr>
              <w:jc w:val="both"/>
              <w:rPr>
                <w:rFonts w:ascii="Arial" w:hAnsi="Arial" w:cs="Arial"/>
                <w:sz w:val="20"/>
                <w:szCs w:val="20"/>
              </w:rPr>
            </w:pPr>
            <w:r>
              <w:rPr>
                <w:rFonts w:ascii="Arial" w:hAnsi="Arial" w:cs="Arial"/>
                <w:sz w:val="20"/>
                <w:szCs w:val="20"/>
              </w:rPr>
              <w:lastRenderedPageBreak/>
              <w:t>Des tests ;</w:t>
            </w:r>
          </w:p>
          <w:p w14:paraId="70F55D05" w14:textId="77777777" w:rsidR="002A27FF" w:rsidRDefault="002A27FF" w:rsidP="002A27FF">
            <w:pPr>
              <w:pStyle w:val="Paragraphedeliste"/>
              <w:numPr>
                <w:ilvl w:val="0"/>
                <w:numId w:val="1"/>
              </w:numPr>
              <w:jc w:val="both"/>
              <w:rPr>
                <w:rFonts w:ascii="Arial" w:hAnsi="Arial" w:cs="Arial"/>
                <w:sz w:val="20"/>
                <w:szCs w:val="20"/>
              </w:rPr>
            </w:pPr>
            <w:r>
              <w:rPr>
                <w:rFonts w:ascii="Arial" w:hAnsi="Arial" w:cs="Arial"/>
                <w:sz w:val="20"/>
                <w:szCs w:val="20"/>
              </w:rPr>
              <w:t>Des qualifications ;</w:t>
            </w:r>
          </w:p>
          <w:p w14:paraId="4CE1E834" w14:textId="47E050EA" w:rsidR="0051640B" w:rsidRPr="002A27FF" w:rsidRDefault="002A27FF" w:rsidP="00E1556E">
            <w:pPr>
              <w:pStyle w:val="Paragraphedeliste"/>
              <w:numPr>
                <w:ilvl w:val="0"/>
                <w:numId w:val="1"/>
              </w:numPr>
              <w:jc w:val="both"/>
              <w:rPr>
                <w:rFonts w:ascii="Arial" w:hAnsi="Arial" w:cs="Arial"/>
                <w:sz w:val="20"/>
                <w:szCs w:val="20"/>
              </w:rPr>
            </w:pPr>
            <w:r>
              <w:rPr>
                <w:rFonts w:ascii="Arial" w:hAnsi="Arial" w:cs="Arial"/>
                <w:sz w:val="20"/>
                <w:szCs w:val="20"/>
              </w:rPr>
              <w:t>Des certifications.</w:t>
            </w:r>
          </w:p>
        </w:tc>
      </w:tr>
      <w:tr w:rsidR="0051640B" w:rsidRPr="00120C4D" w14:paraId="404CA5D6" w14:textId="77777777" w:rsidTr="00E1556E">
        <w:tc>
          <w:tcPr>
            <w:tcW w:w="2490" w:type="dxa"/>
          </w:tcPr>
          <w:p w14:paraId="3F76B5CE" w14:textId="77777777" w:rsidR="0051640B" w:rsidRPr="00120C4D" w:rsidRDefault="0051640B" w:rsidP="00E1556E">
            <w:pPr>
              <w:jc w:val="both"/>
              <w:rPr>
                <w:rFonts w:ascii="Arial" w:hAnsi="Arial" w:cs="Arial"/>
              </w:rPr>
            </w:pPr>
            <w:r w:rsidRPr="00120C4D">
              <w:rPr>
                <w:rFonts w:ascii="Arial" w:hAnsi="Arial" w:cs="Arial"/>
              </w:rPr>
              <w:lastRenderedPageBreak/>
              <w:t>Eligibles</w:t>
            </w:r>
          </w:p>
        </w:tc>
        <w:tc>
          <w:tcPr>
            <w:tcW w:w="6572" w:type="dxa"/>
          </w:tcPr>
          <w:p w14:paraId="791C9FCD" w14:textId="5A5FE37E" w:rsidR="0051640B" w:rsidRDefault="002A27FF" w:rsidP="00E1556E">
            <w:pPr>
              <w:jc w:val="both"/>
              <w:rPr>
                <w:rFonts w:ascii="Arial" w:hAnsi="Arial" w:cs="Arial"/>
                <w:sz w:val="20"/>
                <w:szCs w:val="20"/>
              </w:rPr>
            </w:pPr>
            <w:r>
              <w:rPr>
                <w:rFonts w:ascii="Arial" w:hAnsi="Arial" w:cs="Arial"/>
                <w:sz w:val="20"/>
                <w:szCs w:val="20"/>
              </w:rPr>
              <w:t>Centres de recherche, industrie, grandes entreprises et PME.</w:t>
            </w:r>
          </w:p>
          <w:p w14:paraId="3D953997" w14:textId="77777777" w:rsidR="0051640B" w:rsidRDefault="0051640B" w:rsidP="002A27FF">
            <w:pPr>
              <w:jc w:val="both"/>
              <w:rPr>
                <w:rFonts w:ascii="Arial" w:hAnsi="Arial" w:cs="Arial"/>
                <w:sz w:val="20"/>
                <w:szCs w:val="20"/>
              </w:rPr>
            </w:pPr>
            <w:r>
              <w:rPr>
                <w:rFonts w:ascii="Arial" w:hAnsi="Arial" w:cs="Arial"/>
                <w:sz w:val="20"/>
                <w:szCs w:val="20"/>
              </w:rPr>
              <w:t xml:space="preserve">Il doit s’agit d’entités légales, privées ou publique, établies dans un Etat membre ou dans un Etat </w:t>
            </w:r>
            <w:r w:rsidR="002A27FF">
              <w:rPr>
                <w:rFonts w:ascii="Arial" w:hAnsi="Arial" w:cs="Arial"/>
                <w:sz w:val="20"/>
                <w:szCs w:val="20"/>
              </w:rPr>
              <w:t>tiers associé.</w:t>
            </w:r>
          </w:p>
          <w:p w14:paraId="089B13A0" w14:textId="20CF3996" w:rsidR="002A27FF" w:rsidRPr="00696ECF" w:rsidRDefault="002A27FF" w:rsidP="002A27FF">
            <w:pPr>
              <w:jc w:val="both"/>
              <w:rPr>
                <w:rFonts w:ascii="Arial" w:hAnsi="Arial" w:cs="Arial"/>
                <w:sz w:val="20"/>
                <w:szCs w:val="20"/>
              </w:rPr>
            </w:pPr>
            <w:r>
              <w:rPr>
                <w:rFonts w:ascii="Arial" w:hAnsi="Arial" w:cs="Arial"/>
                <w:sz w:val="20"/>
                <w:szCs w:val="20"/>
              </w:rPr>
              <w:t>Il faut au moins deux participants dans deux Etats membres ou Etats associés.</w:t>
            </w:r>
          </w:p>
        </w:tc>
      </w:tr>
      <w:tr w:rsidR="0051640B" w:rsidRPr="00120C4D" w14:paraId="47EEBC0E" w14:textId="77777777" w:rsidTr="00E1556E">
        <w:tc>
          <w:tcPr>
            <w:tcW w:w="2490" w:type="dxa"/>
          </w:tcPr>
          <w:p w14:paraId="5782CBDF" w14:textId="77777777" w:rsidR="0051640B" w:rsidRPr="00120C4D" w:rsidRDefault="0051640B" w:rsidP="00E1556E">
            <w:pPr>
              <w:jc w:val="both"/>
              <w:rPr>
                <w:rFonts w:ascii="Arial" w:hAnsi="Arial" w:cs="Arial"/>
              </w:rPr>
            </w:pPr>
            <w:r w:rsidRPr="00120C4D">
              <w:rPr>
                <w:rFonts w:ascii="Arial" w:hAnsi="Arial" w:cs="Arial"/>
              </w:rPr>
              <w:t>Conditions spécifiques</w:t>
            </w:r>
          </w:p>
        </w:tc>
        <w:tc>
          <w:tcPr>
            <w:tcW w:w="6572" w:type="dxa"/>
          </w:tcPr>
          <w:p w14:paraId="72672FD4" w14:textId="7B9024E3" w:rsidR="0051640B" w:rsidRDefault="002A27FF" w:rsidP="00E1556E">
            <w:pPr>
              <w:jc w:val="both"/>
              <w:rPr>
                <w:rFonts w:ascii="Arial" w:hAnsi="Arial" w:cs="Arial"/>
                <w:sz w:val="20"/>
                <w:szCs w:val="20"/>
              </w:rPr>
            </w:pPr>
            <w:r>
              <w:rPr>
                <w:rFonts w:ascii="Arial" w:hAnsi="Arial" w:cs="Arial"/>
                <w:sz w:val="20"/>
                <w:szCs w:val="20"/>
              </w:rPr>
              <w:t>Tous les participants, y compris les sous-traitants, doivent avoir mandaté l’organisation pilote et être inscrits au registre des participants.</w:t>
            </w:r>
          </w:p>
          <w:p w14:paraId="3365154B" w14:textId="7D5C6950" w:rsidR="002A27FF" w:rsidRPr="00696ECF" w:rsidRDefault="002A27FF" w:rsidP="00E1556E">
            <w:pPr>
              <w:jc w:val="both"/>
              <w:rPr>
                <w:rFonts w:ascii="Arial" w:hAnsi="Arial" w:cs="Arial"/>
                <w:sz w:val="20"/>
                <w:szCs w:val="20"/>
              </w:rPr>
            </w:pPr>
            <w:r>
              <w:rPr>
                <w:rFonts w:ascii="Arial" w:hAnsi="Arial" w:cs="Arial"/>
                <w:sz w:val="20"/>
                <w:szCs w:val="20"/>
              </w:rPr>
              <w:t>La Partie B (descriptif du projet) ne peut pas dépasser 100 pages.</w:t>
            </w:r>
          </w:p>
        </w:tc>
      </w:tr>
      <w:tr w:rsidR="0051640B" w:rsidRPr="00120C4D" w14:paraId="52E2985A" w14:textId="77777777" w:rsidTr="00E1556E">
        <w:tc>
          <w:tcPr>
            <w:tcW w:w="2490" w:type="dxa"/>
          </w:tcPr>
          <w:p w14:paraId="2CB14ED0" w14:textId="77777777" w:rsidR="0051640B" w:rsidRPr="00120C4D" w:rsidRDefault="0051640B" w:rsidP="00E1556E">
            <w:pPr>
              <w:jc w:val="both"/>
              <w:rPr>
                <w:rFonts w:ascii="Arial" w:hAnsi="Arial" w:cs="Arial"/>
              </w:rPr>
            </w:pPr>
            <w:r w:rsidRPr="00120C4D">
              <w:rPr>
                <w:rFonts w:ascii="Arial" w:hAnsi="Arial" w:cs="Arial"/>
              </w:rPr>
              <w:t>Critères d’évaluation</w:t>
            </w:r>
          </w:p>
        </w:tc>
        <w:tc>
          <w:tcPr>
            <w:tcW w:w="6572" w:type="dxa"/>
          </w:tcPr>
          <w:p w14:paraId="2929405B" w14:textId="18578945" w:rsidR="0051640B" w:rsidRDefault="0051640B" w:rsidP="00E1556E">
            <w:pPr>
              <w:jc w:val="both"/>
              <w:rPr>
                <w:rFonts w:ascii="Arial" w:hAnsi="Arial" w:cs="Arial"/>
                <w:sz w:val="20"/>
                <w:szCs w:val="20"/>
              </w:rPr>
            </w:pPr>
            <w:r>
              <w:rPr>
                <w:rFonts w:ascii="Arial" w:hAnsi="Arial" w:cs="Arial"/>
                <w:sz w:val="20"/>
                <w:szCs w:val="20"/>
              </w:rPr>
              <w:t xml:space="preserve">L’évaluation sera réalité par </w:t>
            </w:r>
            <w:r w:rsidR="007C45D2">
              <w:rPr>
                <w:rFonts w:ascii="Arial" w:hAnsi="Arial" w:cs="Arial"/>
                <w:sz w:val="20"/>
                <w:szCs w:val="20"/>
              </w:rPr>
              <w:t>des experts externes.</w:t>
            </w:r>
          </w:p>
          <w:p w14:paraId="550674B2" w14:textId="68F5B910" w:rsidR="007C45D2" w:rsidRDefault="007C45D2" w:rsidP="00E1556E">
            <w:pPr>
              <w:jc w:val="both"/>
              <w:rPr>
                <w:rFonts w:ascii="Arial" w:hAnsi="Arial" w:cs="Arial"/>
                <w:sz w:val="20"/>
                <w:szCs w:val="20"/>
              </w:rPr>
            </w:pPr>
            <w:r>
              <w:rPr>
                <w:rFonts w:ascii="Arial" w:hAnsi="Arial" w:cs="Arial"/>
                <w:sz w:val="20"/>
                <w:szCs w:val="20"/>
              </w:rPr>
              <w:t>Les critères sont les suivants :</w:t>
            </w:r>
          </w:p>
          <w:p w14:paraId="0FDCF631" w14:textId="78723D00" w:rsidR="007C45D2" w:rsidRDefault="007C45D2" w:rsidP="007C45D2">
            <w:pPr>
              <w:pStyle w:val="Paragraphedeliste"/>
              <w:numPr>
                <w:ilvl w:val="0"/>
                <w:numId w:val="1"/>
              </w:numPr>
              <w:jc w:val="both"/>
              <w:rPr>
                <w:rFonts w:ascii="Arial" w:hAnsi="Arial" w:cs="Arial"/>
                <w:sz w:val="20"/>
                <w:szCs w:val="20"/>
              </w:rPr>
            </w:pPr>
            <w:r>
              <w:rPr>
                <w:rFonts w:ascii="Arial" w:hAnsi="Arial" w:cs="Arial"/>
                <w:sz w:val="20"/>
                <w:szCs w:val="20"/>
              </w:rPr>
              <w:t>Excellence et potentiel disruptif </w:t>
            </w:r>
          </w:p>
          <w:p w14:paraId="4896E0EA" w14:textId="5765AFDF" w:rsidR="007C45D2" w:rsidRDefault="007C45D2" w:rsidP="007C45D2">
            <w:pPr>
              <w:pStyle w:val="Paragraphedeliste"/>
              <w:numPr>
                <w:ilvl w:val="0"/>
                <w:numId w:val="1"/>
              </w:numPr>
              <w:jc w:val="both"/>
              <w:rPr>
                <w:rFonts w:ascii="Arial" w:hAnsi="Arial" w:cs="Arial"/>
                <w:sz w:val="20"/>
                <w:szCs w:val="20"/>
              </w:rPr>
            </w:pPr>
            <w:r>
              <w:rPr>
                <w:rFonts w:ascii="Arial" w:hAnsi="Arial" w:cs="Arial"/>
                <w:sz w:val="20"/>
                <w:szCs w:val="20"/>
              </w:rPr>
              <w:t>Innovation et développement technologique</w:t>
            </w:r>
          </w:p>
          <w:p w14:paraId="1C0F0D02" w14:textId="15F4E7D3" w:rsidR="007C45D2" w:rsidRDefault="007C45D2" w:rsidP="007C45D2">
            <w:pPr>
              <w:pStyle w:val="Paragraphedeliste"/>
              <w:numPr>
                <w:ilvl w:val="0"/>
                <w:numId w:val="1"/>
              </w:numPr>
              <w:jc w:val="both"/>
              <w:rPr>
                <w:rFonts w:ascii="Arial" w:hAnsi="Arial" w:cs="Arial"/>
                <w:sz w:val="20"/>
                <w:szCs w:val="20"/>
              </w:rPr>
            </w:pPr>
            <w:r>
              <w:rPr>
                <w:rFonts w:ascii="Arial" w:hAnsi="Arial" w:cs="Arial"/>
                <w:sz w:val="20"/>
                <w:szCs w:val="20"/>
              </w:rPr>
              <w:t>Compétitivité</w:t>
            </w:r>
          </w:p>
          <w:p w14:paraId="758A715F" w14:textId="0FA4D2B1" w:rsidR="007C45D2" w:rsidRDefault="007C45D2" w:rsidP="007C45D2">
            <w:pPr>
              <w:pStyle w:val="Paragraphedeliste"/>
              <w:numPr>
                <w:ilvl w:val="0"/>
                <w:numId w:val="1"/>
              </w:numPr>
              <w:jc w:val="both"/>
              <w:rPr>
                <w:rFonts w:ascii="Arial" w:hAnsi="Arial" w:cs="Arial"/>
                <w:sz w:val="20"/>
                <w:szCs w:val="20"/>
              </w:rPr>
            </w:pPr>
            <w:r>
              <w:rPr>
                <w:rFonts w:ascii="Arial" w:hAnsi="Arial" w:cs="Arial"/>
                <w:sz w:val="20"/>
                <w:szCs w:val="20"/>
              </w:rPr>
              <w:t xml:space="preserve">Autonomie en base de défense technologique </w:t>
            </w:r>
          </w:p>
          <w:p w14:paraId="6EEECB00" w14:textId="3986F0CC" w:rsidR="007C45D2" w:rsidRDefault="007C45D2" w:rsidP="007C45D2">
            <w:pPr>
              <w:pStyle w:val="Paragraphedeliste"/>
              <w:numPr>
                <w:ilvl w:val="0"/>
                <w:numId w:val="1"/>
              </w:numPr>
              <w:jc w:val="both"/>
              <w:rPr>
                <w:rFonts w:ascii="Arial" w:hAnsi="Arial" w:cs="Arial"/>
                <w:sz w:val="20"/>
                <w:szCs w:val="20"/>
              </w:rPr>
            </w:pPr>
            <w:r>
              <w:rPr>
                <w:rFonts w:ascii="Arial" w:hAnsi="Arial" w:cs="Arial"/>
                <w:sz w:val="20"/>
                <w:szCs w:val="20"/>
              </w:rPr>
              <w:t>Coopération transfrontalière</w:t>
            </w:r>
          </w:p>
          <w:p w14:paraId="46E1809A" w14:textId="62E999A5" w:rsidR="007C45D2" w:rsidRDefault="007C45D2" w:rsidP="007C45D2">
            <w:pPr>
              <w:pStyle w:val="Paragraphedeliste"/>
              <w:numPr>
                <w:ilvl w:val="0"/>
                <w:numId w:val="1"/>
              </w:numPr>
              <w:jc w:val="both"/>
              <w:rPr>
                <w:rFonts w:ascii="Arial" w:hAnsi="Arial" w:cs="Arial"/>
                <w:sz w:val="20"/>
                <w:szCs w:val="20"/>
              </w:rPr>
            </w:pPr>
            <w:r>
              <w:rPr>
                <w:rFonts w:ascii="Arial" w:hAnsi="Arial" w:cs="Arial"/>
                <w:sz w:val="20"/>
                <w:szCs w:val="20"/>
              </w:rPr>
              <w:t>Implémentation</w:t>
            </w:r>
          </w:p>
          <w:p w14:paraId="798DE04B" w14:textId="6C13D45C" w:rsidR="0051640B" w:rsidRPr="00696ECF" w:rsidRDefault="007C45D2" w:rsidP="007C45D2">
            <w:pPr>
              <w:jc w:val="both"/>
              <w:rPr>
                <w:rFonts w:ascii="Arial" w:hAnsi="Arial" w:cs="Arial"/>
                <w:sz w:val="20"/>
                <w:szCs w:val="20"/>
              </w:rPr>
            </w:pPr>
            <w:r>
              <w:rPr>
                <w:rFonts w:ascii="Arial" w:hAnsi="Arial" w:cs="Arial"/>
                <w:sz w:val="20"/>
                <w:szCs w:val="20"/>
              </w:rPr>
              <w:t>Les projets devront recevoir une note minimale de 30/45 pour être sélectionnés.</w:t>
            </w:r>
          </w:p>
        </w:tc>
      </w:tr>
      <w:tr w:rsidR="0051640B" w:rsidRPr="00120C4D" w14:paraId="376642F3" w14:textId="77777777" w:rsidTr="00E1556E">
        <w:tc>
          <w:tcPr>
            <w:tcW w:w="2490" w:type="dxa"/>
          </w:tcPr>
          <w:p w14:paraId="59FB9F51" w14:textId="77777777" w:rsidR="0051640B" w:rsidRPr="00120C4D" w:rsidRDefault="0051640B" w:rsidP="00E1556E">
            <w:pPr>
              <w:rPr>
                <w:rFonts w:ascii="Arial" w:hAnsi="Arial" w:cs="Arial"/>
              </w:rPr>
            </w:pPr>
            <w:r>
              <w:rPr>
                <w:rFonts w:ascii="Arial" w:hAnsi="Arial" w:cs="Arial"/>
              </w:rPr>
              <w:t>Type de financement et m</w:t>
            </w:r>
            <w:r w:rsidRPr="00120C4D">
              <w:rPr>
                <w:rFonts w:ascii="Arial" w:hAnsi="Arial" w:cs="Arial"/>
              </w:rPr>
              <w:t>ontant maximum</w:t>
            </w:r>
          </w:p>
        </w:tc>
        <w:tc>
          <w:tcPr>
            <w:tcW w:w="6572" w:type="dxa"/>
          </w:tcPr>
          <w:p w14:paraId="251BD279" w14:textId="3C809EB2" w:rsidR="0051640B" w:rsidRPr="00120C4D" w:rsidRDefault="002A27FF" w:rsidP="00E1556E">
            <w:pPr>
              <w:jc w:val="both"/>
              <w:rPr>
                <w:rFonts w:ascii="Arial" w:hAnsi="Arial" w:cs="Arial"/>
                <w:sz w:val="20"/>
                <w:szCs w:val="20"/>
              </w:rPr>
            </w:pPr>
            <w:r>
              <w:rPr>
                <w:rFonts w:ascii="Arial" w:hAnsi="Arial" w:cs="Arial"/>
                <w:sz w:val="20"/>
                <w:szCs w:val="20"/>
              </w:rPr>
              <w:t xml:space="preserve">Subvention représentant un pourcentage des coûts éligibles. </w:t>
            </w:r>
          </w:p>
        </w:tc>
      </w:tr>
      <w:tr w:rsidR="0051640B" w:rsidRPr="00120C4D" w14:paraId="6B8410E1" w14:textId="77777777" w:rsidTr="00E1556E">
        <w:tc>
          <w:tcPr>
            <w:tcW w:w="2490" w:type="dxa"/>
          </w:tcPr>
          <w:p w14:paraId="692339B2" w14:textId="77777777" w:rsidR="0051640B" w:rsidRPr="00120C4D" w:rsidRDefault="0051640B" w:rsidP="00E1556E">
            <w:pPr>
              <w:jc w:val="both"/>
              <w:rPr>
                <w:rFonts w:ascii="Arial" w:hAnsi="Arial" w:cs="Arial"/>
              </w:rPr>
            </w:pPr>
            <w:r>
              <w:rPr>
                <w:rFonts w:ascii="Arial" w:hAnsi="Arial" w:cs="Arial"/>
              </w:rPr>
              <w:t>Etapes d’évaluation et d</w:t>
            </w:r>
            <w:r w:rsidRPr="00120C4D">
              <w:rPr>
                <w:rFonts w:ascii="Arial" w:hAnsi="Arial" w:cs="Arial"/>
              </w:rPr>
              <w:t>urée</w:t>
            </w:r>
            <w:r>
              <w:rPr>
                <w:rFonts w:ascii="Arial" w:hAnsi="Arial" w:cs="Arial"/>
              </w:rPr>
              <w:t xml:space="preserve"> du projet</w:t>
            </w:r>
          </w:p>
        </w:tc>
        <w:tc>
          <w:tcPr>
            <w:tcW w:w="6572" w:type="dxa"/>
          </w:tcPr>
          <w:p w14:paraId="52208378" w14:textId="77777777" w:rsidR="0051640B" w:rsidRDefault="002A27FF" w:rsidP="00E1556E">
            <w:pPr>
              <w:rPr>
                <w:rFonts w:ascii="Arial" w:hAnsi="Arial" w:cs="Arial"/>
                <w:bCs/>
                <w:sz w:val="20"/>
                <w:szCs w:val="20"/>
              </w:rPr>
            </w:pPr>
            <w:r>
              <w:rPr>
                <w:rFonts w:ascii="Arial" w:hAnsi="Arial" w:cs="Arial"/>
                <w:bCs/>
                <w:sz w:val="20"/>
                <w:szCs w:val="20"/>
              </w:rPr>
              <w:t>Le projet sera exécuté dans un délai de 12 à 24 mois.</w:t>
            </w:r>
          </w:p>
          <w:p w14:paraId="4D08B156" w14:textId="77777777" w:rsidR="002A27FF" w:rsidRDefault="002A27FF" w:rsidP="002A27FF">
            <w:pPr>
              <w:pStyle w:val="Paragraphedeliste"/>
              <w:numPr>
                <w:ilvl w:val="0"/>
                <w:numId w:val="1"/>
              </w:numPr>
              <w:rPr>
                <w:rFonts w:ascii="Arial" w:hAnsi="Arial" w:cs="Arial"/>
                <w:bCs/>
                <w:sz w:val="20"/>
                <w:szCs w:val="20"/>
              </w:rPr>
            </w:pPr>
            <w:r>
              <w:rPr>
                <w:rFonts w:ascii="Arial" w:hAnsi="Arial" w:cs="Arial"/>
                <w:bCs/>
                <w:sz w:val="20"/>
                <w:szCs w:val="20"/>
              </w:rPr>
              <w:t>Evaluation : novembre 2024 – mai 2025</w:t>
            </w:r>
          </w:p>
          <w:p w14:paraId="0C860E76" w14:textId="77777777" w:rsidR="002A27FF" w:rsidRDefault="002A27FF" w:rsidP="002A27FF">
            <w:pPr>
              <w:pStyle w:val="Paragraphedeliste"/>
              <w:numPr>
                <w:ilvl w:val="0"/>
                <w:numId w:val="1"/>
              </w:numPr>
              <w:rPr>
                <w:rFonts w:ascii="Arial" w:hAnsi="Arial" w:cs="Arial"/>
                <w:bCs/>
                <w:sz w:val="20"/>
                <w:szCs w:val="20"/>
              </w:rPr>
            </w:pPr>
            <w:r>
              <w:rPr>
                <w:rFonts w:ascii="Arial" w:hAnsi="Arial" w:cs="Arial"/>
                <w:bCs/>
                <w:sz w:val="20"/>
                <w:szCs w:val="20"/>
              </w:rPr>
              <w:t>Information : mai 2025</w:t>
            </w:r>
          </w:p>
          <w:p w14:paraId="07693E34" w14:textId="78BC3529" w:rsidR="002A27FF" w:rsidRPr="002A27FF" w:rsidRDefault="002A27FF" w:rsidP="002A27FF">
            <w:pPr>
              <w:pStyle w:val="Paragraphedeliste"/>
              <w:numPr>
                <w:ilvl w:val="0"/>
                <w:numId w:val="1"/>
              </w:numPr>
              <w:rPr>
                <w:rFonts w:ascii="Arial" w:hAnsi="Arial" w:cs="Arial"/>
                <w:bCs/>
                <w:sz w:val="20"/>
                <w:szCs w:val="20"/>
              </w:rPr>
            </w:pPr>
            <w:r>
              <w:rPr>
                <w:rFonts w:ascii="Arial" w:hAnsi="Arial" w:cs="Arial"/>
                <w:bCs/>
                <w:sz w:val="20"/>
                <w:szCs w:val="20"/>
              </w:rPr>
              <w:t>Signature du contrat : mai – décembre 2025</w:t>
            </w:r>
          </w:p>
        </w:tc>
      </w:tr>
    </w:tbl>
    <w:p w14:paraId="44886639" w14:textId="77777777" w:rsidR="0051640B" w:rsidRPr="00120C4D" w:rsidRDefault="0051640B" w:rsidP="0051640B">
      <w:pPr>
        <w:rPr>
          <w:rFonts w:ascii="Arial" w:hAnsi="Arial" w:cs="Arial"/>
        </w:rPr>
      </w:pPr>
    </w:p>
    <w:p w14:paraId="3FC6747F" w14:textId="77777777" w:rsidR="0051640B" w:rsidRDefault="0051640B" w:rsidP="0051640B"/>
    <w:p w14:paraId="3B6FF32B" w14:textId="77777777" w:rsidR="0051640B" w:rsidRDefault="0051640B" w:rsidP="0051640B"/>
    <w:p w14:paraId="50D099F4" w14:textId="77777777" w:rsidR="0051640B" w:rsidRDefault="0051640B" w:rsidP="0051640B"/>
    <w:p w14:paraId="73FB0C50" w14:textId="77777777" w:rsidR="008400DD" w:rsidRDefault="008400DD"/>
    <w:sectPr w:rsidR="008400DD" w:rsidSect="0051640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E9CE1" w14:textId="77777777" w:rsidR="00B753DA" w:rsidRDefault="00B753DA">
      <w:pPr>
        <w:spacing w:after="0" w:line="240" w:lineRule="auto"/>
      </w:pPr>
      <w:r>
        <w:separator/>
      </w:r>
    </w:p>
  </w:endnote>
  <w:endnote w:type="continuationSeparator" w:id="0">
    <w:p w14:paraId="2CDA9677" w14:textId="77777777" w:rsidR="00B753DA" w:rsidRDefault="00B7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9572" w14:textId="77777777" w:rsidR="00B753DA" w:rsidRDefault="00B753DA">
      <w:pPr>
        <w:spacing w:after="0" w:line="240" w:lineRule="auto"/>
      </w:pPr>
      <w:r>
        <w:separator/>
      </w:r>
    </w:p>
  </w:footnote>
  <w:footnote w:type="continuationSeparator" w:id="0">
    <w:p w14:paraId="0C96C7DC" w14:textId="77777777" w:rsidR="00B753DA" w:rsidRDefault="00B75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FD9B" w14:textId="77777777" w:rsidR="00550531" w:rsidRDefault="00550531">
    <w:pPr>
      <w:pStyle w:val="En-tte"/>
    </w:pPr>
    <w:r>
      <w:rPr>
        <w:rFonts w:cs="Calibri"/>
        <w:noProof/>
        <w:lang w:eastAsia="fr-BE"/>
      </w:rPr>
      <w:drawing>
        <wp:inline distT="0" distB="0" distL="0" distR="0" wp14:anchorId="36205BE1" wp14:editId="1271A0A8">
          <wp:extent cx="595564" cy="437088"/>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701" cy="437922"/>
                  </a:xfrm>
                  <a:prstGeom prst="rect">
                    <a:avLst/>
                  </a:prstGeom>
                </pic:spPr>
              </pic:pic>
            </a:graphicData>
          </a:graphic>
        </wp:inline>
      </w:drawing>
    </w:r>
  </w:p>
  <w:p w14:paraId="6D440696" w14:textId="77777777" w:rsidR="00550531" w:rsidRDefault="005505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A5127"/>
    <w:multiLevelType w:val="hybridMultilevel"/>
    <w:tmpl w:val="1C0C7CBC"/>
    <w:lvl w:ilvl="0" w:tplc="BF4C6B8A">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9779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0B"/>
    <w:rsid w:val="000B4F9F"/>
    <w:rsid w:val="000E0682"/>
    <w:rsid w:val="00285656"/>
    <w:rsid w:val="002A27FF"/>
    <w:rsid w:val="00356876"/>
    <w:rsid w:val="004C12C7"/>
    <w:rsid w:val="004D7698"/>
    <w:rsid w:val="0051640B"/>
    <w:rsid w:val="00550531"/>
    <w:rsid w:val="006153FE"/>
    <w:rsid w:val="00717667"/>
    <w:rsid w:val="007C45D2"/>
    <w:rsid w:val="008400DD"/>
    <w:rsid w:val="0084321D"/>
    <w:rsid w:val="00B753DA"/>
    <w:rsid w:val="00CB1ED7"/>
    <w:rsid w:val="00E66128"/>
    <w:rsid w:val="00E77C44"/>
    <w:rsid w:val="00E928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5BAD"/>
  <w15:chartTrackingRefBased/>
  <w15:docId w15:val="{0EE5E276-9D7B-4BF0-90CD-8E30B1C5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0B"/>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51640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51640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51640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51640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51640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51640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51640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51640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51640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64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164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64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64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64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64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64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64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640B"/>
    <w:rPr>
      <w:rFonts w:eastAsiaTheme="majorEastAsia" w:cstheme="majorBidi"/>
      <w:color w:val="272727" w:themeColor="text1" w:themeTint="D8"/>
    </w:rPr>
  </w:style>
  <w:style w:type="paragraph" w:styleId="Titre">
    <w:name w:val="Title"/>
    <w:basedOn w:val="Normal"/>
    <w:next w:val="Normal"/>
    <w:link w:val="TitreCar"/>
    <w:uiPriority w:val="10"/>
    <w:qFormat/>
    <w:rsid w:val="0051640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5164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640B"/>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5164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640B"/>
    <w:pPr>
      <w:spacing w:before="160" w:after="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51640B"/>
    <w:rPr>
      <w:i/>
      <w:iCs/>
      <w:color w:val="404040" w:themeColor="text1" w:themeTint="BF"/>
    </w:rPr>
  </w:style>
  <w:style w:type="paragraph" w:styleId="Paragraphedeliste">
    <w:name w:val="List Paragraph"/>
    <w:basedOn w:val="Normal"/>
    <w:uiPriority w:val="34"/>
    <w:qFormat/>
    <w:rsid w:val="0051640B"/>
    <w:pPr>
      <w:spacing w:after="160"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51640B"/>
    <w:rPr>
      <w:i/>
      <w:iCs/>
      <w:color w:val="0F4761" w:themeColor="accent1" w:themeShade="BF"/>
    </w:rPr>
  </w:style>
  <w:style w:type="paragraph" w:styleId="Citationintense">
    <w:name w:val="Intense Quote"/>
    <w:basedOn w:val="Normal"/>
    <w:next w:val="Normal"/>
    <w:link w:val="CitationintenseCar"/>
    <w:uiPriority w:val="30"/>
    <w:qFormat/>
    <w:rsid w:val="0051640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51640B"/>
    <w:rPr>
      <w:i/>
      <w:iCs/>
      <w:color w:val="0F4761" w:themeColor="accent1" w:themeShade="BF"/>
    </w:rPr>
  </w:style>
  <w:style w:type="character" w:styleId="Rfrenceintense">
    <w:name w:val="Intense Reference"/>
    <w:basedOn w:val="Policepardfaut"/>
    <w:uiPriority w:val="32"/>
    <w:qFormat/>
    <w:rsid w:val="0051640B"/>
    <w:rPr>
      <w:b/>
      <w:bCs/>
      <w:smallCaps/>
      <w:color w:val="0F4761" w:themeColor="accent1" w:themeShade="BF"/>
      <w:spacing w:val="5"/>
    </w:rPr>
  </w:style>
  <w:style w:type="table" w:styleId="Grilledutableau">
    <w:name w:val="Table Grid"/>
    <w:basedOn w:val="TableauNormal"/>
    <w:uiPriority w:val="59"/>
    <w:rsid w:val="0051640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1640B"/>
    <w:pPr>
      <w:tabs>
        <w:tab w:val="center" w:pos="4536"/>
        <w:tab w:val="right" w:pos="9072"/>
      </w:tabs>
      <w:spacing w:after="0" w:line="240" w:lineRule="auto"/>
    </w:pPr>
  </w:style>
  <w:style w:type="character" w:customStyle="1" w:styleId="En-tteCar">
    <w:name w:val="En-tête Car"/>
    <w:basedOn w:val="Policepardfaut"/>
    <w:link w:val="En-tte"/>
    <w:uiPriority w:val="99"/>
    <w:rsid w:val="0051640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Anne</dc:creator>
  <cp:keywords/>
  <dc:description/>
  <cp:lastModifiedBy>Peeters Anne</cp:lastModifiedBy>
  <cp:revision>2</cp:revision>
  <cp:lastPrinted>2024-09-18T11:52:00Z</cp:lastPrinted>
  <dcterms:created xsi:type="dcterms:W3CDTF">2024-09-18T11:53:00Z</dcterms:created>
  <dcterms:modified xsi:type="dcterms:W3CDTF">2024-09-18T11:53:00Z</dcterms:modified>
</cp:coreProperties>
</file>